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1DA" w:rsidRDefault="00E631DA" w:rsidP="006E7162">
      <w:pPr>
        <w:jc w:val="center"/>
        <w:rPr>
          <w:rFonts w:asciiTheme="majorHAnsi" w:hAnsiTheme="majorHAnsi"/>
          <w:sz w:val="24"/>
          <w:szCs w:val="24"/>
          <w:lang w:val="mk-MK"/>
        </w:rPr>
      </w:pPr>
      <w:bookmarkStart w:id="0" w:name="_GoBack"/>
      <w:bookmarkEnd w:id="0"/>
    </w:p>
    <w:p w:rsidR="00E631DA" w:rsidRDefault="00E631DA" w:rsidP="006E7162">
      <w:pPr>
        <w:jc w:val="center"/>
        <w:rPr>
          <w:rFonts w:asciiTheme="majorHAnsi" w:hAnsiTheme="majorHAnsi"/>
          <w:sz w:val="24"/>
          <w:szCs w:val="24"/>
          <w:lang w:val="mk-MK"/>
        </w:rPr>
      </w:pPr>
    </w:p>
    <w:p w:rsidR="002420D4" w:rsidRPr="00E631DA" w:rsidRDefault="002420D4" w:rsidP="006E7162">
      <w:pPr>
        <w:jc w:val="center"/>
        <w:rPr>
          <w:rFonts w:asciiTheme="majorHAnsi" w:hAnsiTheme="majorHAnsi"/>
          <w:sz w:val="24"/>
          <w:szCs w:val="24"/>
          <w:lang w:val="mk-MK"/>
        </w:rPr>
      </w:pPr>
      <w:r w:rsidRPr="00E631DA">
        <w:rPr>
          <w:rFonts w:asciiTheme="majorHAnsi" w:hAnsiTheme="majorHAnsi"/>
          <w:sz w:val="24"/>
          <w:szCs w:val="24"/>
        </w:rPr>
        <w:t xml:space="preserve"> ДОГОВОР ЗА</w:t>
      </w:r>
      <w:r w:rsidR="007860CD" w:rsidRPr="00E631DA">
        <w:rPr>
          <w:rFonts w:asciiTheme="majorHAnsi" w:hAnsiTheme="majorHAnsi"/>
          <w:sz w:val="24"/>
          <w:szCs w:val="24"/>
          <w:lang w:val="mk-MK"/>
        </w:rPr>
        <w:t xml:space="preserve"> РЕГИСТРАЦИЈА НА</w:t>
      </w:r>
      <w:r w:rsidRPr="00E631DA">
        <w:rPr>
          <w:rFonts w:asciiTheme="majorHAnsi" w:hAnsiTheme="majorHAnsi"/>
          <w:sz w:val="24"/>
          <w:szCs w:val="24"/>
        </w:rPr>
        <w:t xml:space="preserve"> </w:t>
      </w:r>
      <w:r w:rsidR="00552BB8" w:rsidRPr="00E631DA">
        <w:rPr>
          <w:rFonts w:asciiTheme="majorHAnsi" w:hAnsiTheme="majorHAnsi"/>
          <w:sz w:val="24"/>
          <w:szCs w:val="24"/>
          <w:lang w:val="mk-MK"/>
        </w:rPr>
        <w:t>ДАВАТЕЛ НА УСЛУГИ ЗА БАЛАНСИРАЊЕ</w:t>
      </w:r>
    </w:p>
    <w:p w:rsidR="006E7162" w:rsidRPr="00E631DA" w:rsidRDefault="002420D4" w:rsidP="006E7162">
      <w:pPr>
        <w:jc w:val="center"/>
        <w:rPr>
          <w:rFonts w:asciiTheme="majorHAnsi" w:hAnsiTheme="majorHAnsi"/>
          <w:sz w:val="24"/>
          <w:szCs w:val="24"/>
          <w:lang w:val="mk-MK"/>
        </w:rPr>
      </w:pPr>
      <w:r w:rsidRPr="00E631DA">
        <w:rPr>
          <w:rFonts w:asciiTheme="majorHAnsi" w:hAnsiTheme="majorHAnsi"/>
          <w:sz w:val="24"/>
          <w:szCs w:val="24"/>
          <w:lang w:val="mk-MK"/>
        </w:rPr>
        <w:t xml:space="preserve"> </w:t>
      </w:r>
      <w:r w:rsidR="006E7162" w:rsidRPr="00E631DA">
        <w:rPr>
          <w:rFonts w:asciiTheme="majorHAnsi" w:hAnsiTheme="majorHAnsi"/>
          <w:sz w:val="24"/>
          <w:szCs w:val="24"/>
          <w:lang w:val="mk-MK"/>
        </w:rPr>
        <w:t>ПОМЕЃУ</w:t>
      </w:r>
    </w:p>
    <w:p w:rsidR="00E631DA" w:rsidRDefault="00E631DA" w:rsidP="006E7162">
      <w:pPr>
        <w:jc w:val="center"/>
        <w:rPr>
          <w:rFonts w:asciiTheme="majorHAnsi" w:hAnsiTheme="majorHAnsi"/>
          <w:sz w:val="24"/>
          <w:szCs w:val="24"/>
          <w:lang w:val="mk-MK"/>
        </w:rPr>
      </w:pPr>
    </w:p>
    <w:p w:rsidR="00D85557" w:rsidRPr="00E631DA" w:rsidRDefault="006E7162" w:rsidP="006E7162">
      <w:pPr>
        <w:jc w:val="center"/>
        <w:rPr>
          <w:rFonts w:asciiTheme="majorHAnsi" w:hAnsiTheme="majorHAnsi"/>
          <w:i/>
          <w:sz w:val="24"/>
          <w:szCs w:val="24"/>
          <w:lang w:val="mk-MK"/>
        </w:rPr>
      </w:pPr>
      <w:r w:rsidRPr="00E631DA">
        <w:rPr>
          <w:rFonts w:asciiTheme="majorHAnsi" w:hAnsiTheme="majorHAnsi"/>
          <w:i/>
          <w:sz w:val="24"/>
          <w:szCs w:val="24"/>
          <w:lang w:val="mk-MK"/>
        </w:rPr>
        <w:t xml:space="preserve">АД МЕПСО </w:t>
      </w:r>
    </w:p>
    <w:p w:rsidR="00E631DA" w:rsidRDefault="00E631DA" w:rsidP="006E7162">
      <w:pPr>
        <w:jc w:val="center"/>
        <w:rPr>
          <w:rFonts w:asciiTheme="majorHAnsi" w:hAnsiTheme="majorHAnsi"/>
          <w:sz w:val="24"/>
          <w:szCs w:val="24"/>
          <w:lang w:val="mk-MK"/>
        </w:rPr>
      </w:pPr>
    </w:p>
    <w:p w:rsidR="00D85557" w:rsidRPr="00E631DA" w:rsidRDefault="006E7162" w:rsidP="006E7162">
      <w:pPr>
        <w:jc w:val="center"/>
        <w:rPr>
          <w:rFonts w:asciiTheme="majorHAnsi" w:hAnsiTheme="majorHAnsi"/>
          <w:sz w:val="24"/>
          <w:szCs w:val="24"/>
          <w:lang w:val="mk-MK"/>
        </w:rPr>
      </w:pPr>
      <w:r w:rsidRPr="00E631DA">
        <w:rPr>
          <w:rFonts w:asciiTheme="majorHAnsi" w:hAnsiTheme="majorHAnsi"/>
          <w:sz w:val="24"/>
          <w:szCs w:val="24"/>
          <w:lang w:val="mk-MK"/>
        </w:rPr>
        <w:t xml:space="preserve">И </w:t>
      </w:r>
    </w:p>
    <w:p w:rsidR="00E631DA" w:rsidRDefault="00E631DA" w:rsidP="006E7162">
      <w:pPr>
        <w:jc w:val="center"/>
        <w:rPr>
          <w:rFonts w:asciiTheme="majorHAnsi" w:hAnsiTheme="majorHAnsi"/>
          <w:sz w:val="24"/>
          <w:szCs w:val="24"/>
          <w:lang w:val="mk-MK"/>
        </w:rPr>
      </w:pPr>
    </w:p>
    <w:p w:rsidR="00E631DA" w:rsidRDefault="00D85557" w:rsidP="00D75125">
      <w:pPr>
        <w:jc w:val="center"/>
        <w:rPr>
          <w:rFonts w:asciiTheme="majorHAnsi" w:hAnsiTheme="majorHAnsi"/>
          <w:sz w:val="24"/>
          <w:szCs w:val="24"/>
          <w:lang w:val="mk-MK"/>
        </w:rPr>
      </w:pPr>
      <w:r w:rsidRPr="00E631DA">
        <w:rPr>
          <w:rFonts w:asciiTheme="majorHAnsi" w:hAnsiTheme="majorHAnsi"/>
          <w:sz w:val="24"/>
          <w:szCs w:val="24"/>
          <w:lang w:val="mk-MK"/>
        </w:rPr>
        <w:t>ДАВАТЕЛ НА УСЛУГИ ЗА БАЛАНСИРАЊЕ</w:t>
      </w:r>
    </w:p>
    <w:p w:rsidR="00E631DA" w:rsidRDefault="00E631DA" w:rsidP="00E631DA">
      <w:pPr>
        <w:rPr>
          <w:rFonts w:asciiTheme="majorHAnsi" w:hAnsiTheme="majorHAnsi"/>
          <w:sz w:val="24"/>
          <w:szCs w:val="24"/>
          <w:lang w:val="mk-MK"/>
        </w:rPr>
      </w:pPr>
    </w:p>
    <w:p w:rsidR="006E7162" w:rsidRPr="00E631DA" w:rsidRDefault="00E631DA" w:rsidP="00E631DA">
      <w:pPr>
        <w:jc w:val="center"/>
      </w:pPr>
      <w:r>
        <w:rPr>
          <w:rFonts w:asciiTheme="majorHAnsi" w:hAnsiTheme="majorHAnsi"/>
          <w:sz w:val="24"/>
          <w:szCs w:val="24"/>
          <w:lang w:val="mk-MK"/>
        </w:rPr>
        <w:t>___________________</w:t>
      </w:r>
      <w:r w:rsidR="00D85557" w:rsidRPr="00E631DA">
        <w:rPr>
          <w:rFonts w:asciiTheme="majorHAnsi" w:hAnsiTheme="majorHAnsi"/>
          <w:sz w:val="24"/>
          <w:szCs w:val="24"/>
          <w:lang w:val="mk-MK"/>
        </w:rPr>
        <w:t>____________________________</w:t>
      </w:r>
    </w:p>
    <w:p w:rsidR="00E631DA" w:rsidRDefault="00E631DA" w:rsidP="006E7162">
      <w:pPr>
        <w:pStyle w:val="Clen"/>
        <w:rPr>
          <w:rFonts w:asciiTheme="majorHAnsi" w:hAnsiTheme="majorHAnsi"/>
          <w:sz w:val="24"/>
          <w:szCs w:val="24"/>
          <w:lang w:val="mk-MK"/>
        </w:rPr>
      </w:pPr>
    </w:p>
    <w:p w:rsidR="00E631DA" w:rsidRDefault="00E631DA" w:rsidP="006E7162">
      <w:pPr>
        <w:pStyle w:val="Clen"/>
        <w:rPr>
          <w:rFonts w:asciiTheme="majorHAnsi" w:hAnsiTheme="majorHAnsi"/>
          <w:sz w:val="24"/>
          <w:szCs w:val="24"/>
          <w:lang w:val="mk-MK"/>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Default="00E631DA" w:rsidP="00E631DA">
      <w:pPr>
        <w:pStyle w:val="Stav"/>
        <w:numPr>
          <w:ilvl w:val="0"/>
          <w:numId w:val="0"/>
        </w:numPr>
        <w:ind w:left="794" w:hanging="794"/>
        <w:rPr>
          <w:lang w:eastAsia="ar-SA"/>
        </w:rPr>
      </w:pPr>
    </w:p>
    <w:p w:rsidR="00E631DA" w:rsidRPr="00E631DA" w:rsidRDefault="00E631DA" w:rsidP="00E631DA">
      <w:pPr>
        <w:pStyle w:val="Stav"/>
        <w:numPr>
          <w:ilvl w:val="0"/>
          <w:numId w:val="0"/>
        </w:numPr>
        <w:ind w:left="794" w:hanging="794"/>
        <w:rPr>
          <w:lang w:eastAsia="ar-SA"/>
        </w:rPr>
      </w:pPr>
    </w:p>
    <w:p w:rsidR="006E7162" w:rsidRPr="00E631DA" w:rsidRDefault="006E7162" w:rsidP="006E7162">
      <w:pPr>
        <w:pStyle w:val="Clen"/>
        <w:rPr>
          <w:rFonts w:asciiTheme="majorHAnsi" w:hAnsiTheme="majorHAnsi"/>
          <w:sz w:val="24"/>
          <w:szCs w:val="24"/>
          <w:lang w:val="mk-MK"/>
        </w:rPr>
      </w:pPr>
      <w:proofErr w:type="spellStart"/>
      <w:r w:rsidRPr="00E631DA">
        <w:rPr>
          <w:rFonts w:asciiTheme="majorHAnsi" w:hAnsiTheme="majorHAnsi"/>
          <w:sz w:val="24"/>
          <w:szCs w:val="24"/>
        </w:rPr>
        <w:lastRenderedPageBreak/>
        <w:t>Член</w:t>
      </w:r>
      <w:proofErr w:type="spellEnd"/>
      <w:r w:rsidRPr="00E631DA">
        <w:rPr>
          <w:rFonts w:asciiTheme="majorHAnsi" w:hAnsiTheme="majorHAnsi"/>
          <w:sz w:val="24"/>
          <w:szCs w:val="24"/>
        </w:rPr>
        <w:t xml:space="preserve"> </w:t>
      </w:r>
      <w:r w:rsidRPr="00E631DA">
        <w:rPr>
          <w:rFonts w:asciiTheme="majorHAnsi" w:hAnsiTheme="majorHAnsi"/>
          <w:sz w:val="24"/>
          <w:szCs w:val="24"/>
          <w:lang w:val="mk-MK"/>
        </w:rPr>
        <w:t>1</w:t>
      </w:r>
    </w:p>
    <w:p w:rsidR="00FA342C" w:rsidRPr="00E631DA" w:rsidRDefault="006E7162" w:rsidP="008C5C73">
      <w:pPr>
        <w:pStyle w:val="Stav"/>
        <w:numPr>
          <w:ilvl w:val="0"/>
          <w:numId w:val="0"/>
        </w:numPr>
        <w:ind w:left="794"/>
        <w:rPr>
          <w:rFonts w:asciiTheme="majorHAnsi" w:hAnsiTheme="majorHAnsi"/>
          <w:sz w:val="24"/>
          <w:szCs w:val="24"/>
        </w:rPr>
      </w:pPr>
      <w:r w:rsidRPr="00E631DA">
        <w:rPr>
          <w:rFonts w:asciiTheme="majorHAnsi" w:hAnsiTheme="majorHAnsi"/>
          <w:sz w:val="24"/>
          <w:szCs w:val="24"/>
        </w:rPr>
        <w:t xml:space="preserve">Согласно со </w:t>
      </w:r>
      <w:r w:rsidR="00DE681F" w:rsidRPr="00E631DA">
        <w:rPr>
          <w:rFonts w:asciiTheme="majorHAnsi" w:hAnsiTheme="majorHAnsi"/>
          <w:sz w:val="24"/>
          <w:szCs w:val="24"/>
        </w:rPr>
        <w:t>Законот за енергетика,</w:t>
      </w:r>
      <w:r w:rsidRPr="00E631DA">
        <w:rPr>
          <w:rFonts w:asciiTheme="majorHAnsi" w:hAnsiTheme="majorHAnsi"/>
          <w:sz w:val="24"/>
          <w:szCs w:val="24"/>
        </w:rPr>
        <w:t xml:space="preserve"> Правилата за </w:t>
      </w:r>
      <w:r w:rsidR="00DE681F" w:rsidRPr="00E631DA">
        <w:rPr>
          <w:rFonts w:asciiTheme="majorHAnsi" w:hAnsiTheme="majorHAnsi"/>
          <w:sz w:val="24"/>
          <w:szCs w:val="24"/>
        </w:rPr>
        <w:t xml:space="preserve">балансирање на ЕЕС и Мрежните правила за пренос на електрична енергија, </w:t>
      </w:r>
      <w:r w:rsidRPr="00E631DA">
        <w:rPr>
          <w:rFonts w:asciiTheme="majorHAnsi" w:hAnsiTheme="majorHAnsi"/>
          <w:sz w:val="24"/>
          <w:szCs w:val="24"/>
        </w:rPr>
        <w:t>АД МЕПСО е одговорен за набавка на системските услуги</w:t>
      </w:r>
      <w:r w:rsidR="00FA342C" w:rsidRPr="00E631DA">
        <w:rPr>
          <w:rFonts w:asciiTheme="majorHAnsi" w:hAnsiTheme="majorHAnsi"/>
          <w:sz w:val="24"/>
          <w:szCs w:val="24"/>
        </w:rPr>
        <w:t>.</w:t>
      </w:r>
    </w:p>
    <w:p w:rsidR="00FA342C" w:rsidRPr="00E631DA" w:rsidRDefault="00FA342C" w:rsidP="00FA342C">
      <w:pPr>
        <w:pStyle w:val="Clen"/>
        <w:rPr>
          <w:rFonts w:asciiTheme="majorHAnsi" w:hAnsiTheme="majorHAnsi"/>
          <w:sz w:val="24"/>
          <w:szCs w:val="24"/>
        </w:rPr>
      </w:pPr>
      <w:r w:rsidRPr="00E631DA">
        <w:rPr>
          <w:rFonts w:asciiTheme="majorHAnsi" w:hAnsiTheme="majorHAnsi"/>
          <w:sz w:val="24"/>
          <w:szCs w:val="24"/>
        </w:rPr>
        <w:t>Член 2</w:t>
      </w:r>
    </w:p>
    <w:p w:rsidR="00FA342C" w:rsidRPr="00E631DA" w:rsidRDefault="00FA342C" w:rsidP="008C5C73">
      <w:pPr>
        <w:pStyle w:val="Stav"/>
        <w:numPr>
          <w:ilvl w:val="0"/>
          <w:numId w:val="0"/>
        </w:numPr>
        <w:ind w:left="794"/>
        <w:rPr>
          <w:rFonts w:asciiTheme="majorHAnsi" w:hAnsiTheme="majorHAnsi"/>
          <w:sz w:val="24"/>
          <w:szCs w:val="24"/>
        </w:rPr>
      </w:pPr>
      <w:r w:rsidRPr="00E631DA">
        <w:rPr>
          <w:rFonts w:asciiTheme="majorHAnsi" w:hAnsiTheme="majorHAnsi"/>
          <w:sz w:val="24"/>
          <w:szCs w:val="24"/>
        </w:rPr>
        <w:t xml:space="preserve">Со потпишување на овој Договор за </w:t>
      </w:r>
      <w:r w:rsidR="007860CD" w:rsidRPr="00E631DA">
        <w:rPr>
          <w:rFonts w:asciiTheme="majorHAnsi" w:hAnsiTheme="majorHAnsi"/>
          <w:sz w:val="24"/>
          <w:szCs w:val="24"/>
        </w:rPr>
        <w:t xml:space="preserve">регистрација на </w:t>
      </w:r>
      <w:r w:rsidR="00552BB8" w:rsidRPr="00E631DA">
        <w:rPr>
          <w:rFonts w:asciiTheme="majorHAnsi" w:hAnsiTheme="majorHAnsi"/>
          <w:sz w:val="24"/>
          <w:szCs w:val="24"/>
        </w:rPr>
        <w:t>давател на услуги за балансирање</w:t>
      </w:r>
      <w:r w:rsidRPr="00E631DA">
        <w:rPr>
          <w:rFonts w:asciiTheme="majorHAnsi" w:hAnsiTheme="majorHAnsi"/>
          <w:sz w:val="24"/>
          <w:szCs w:val="24"/>
        </w:rPr>
        <w:t xml:space="preserve">, АД МЕПСО  врши упис на учесникот на пазарот во Регистарот на </w:t>
      </w:r>
      <w:r w:rsidR="00552BB8" w:rsidRPr="00E631DA">
        <w:rPr>
          <w:rFonts w:asciiTheme="majorHAnsi" w:hAnsiTheme="majorHAnsi"/>
          <w:sz w:val="24"/>
          <w:szCs w:val="24"/>
        </w:rPr>
        <w:t xml:space="preserve">даватели на услуги за балансирање </w:t>
      </w:r>
      <w:r w:rsidR="00EB23EC" w:rsidRPr="00E631DA">
        <w:rPr>
          <w:rFonts w:asciiTheme="majorHAnsi" w:hAnsiTheme="majorHAnsi"/>
          <w:sz w:val="24"/>
          <w:szCs w:val="24"/>
        </w:rPr>
        <w:t>(Регист</w:t>
      </w:r>
      <w:r w:rsidR="00F522E2" w:rsidRPr="00E631DA">
        <w:rPr>
          <w:rFonts w:asciiTheme="majorHAnsi" w:hAnsiTheme="majorHAnsi"/>
          <w:sz w:val="24"/>
          <w:szCs w:val="24"/>
        </w:rPr>
        <w:t>а</w:t>
      </w:r>
      <w:r w:rsidR="00EB23EC" w:rsidRPr="00E631DA">
        <w:rPr>
          <w:rFonts w:asciiTheme="majorHAnsi" w:hAnsiTheme="majorHAnsi"/>
          <w:sz w:val="24"/>
          <w:szCs w:val="24"/>
        </w:rPr>
        <w:t>р</w:t>
      </w:r>
      <w:r w:rsidR="00420B7E" w:rsidRPr="00E631DA">
        <w:rPr>
          <w:rFonts w:asciiTheme="majorHAnsi" w:hAnsiTheme="majorHAnsi"/>
          <w:sz w:val="24"/>
          <w:szCs w:val="24"/>
        </w:rPr>
        <w:t>)</w:t>
      </w:r>
      <w:r w:rsidRPr="00E631DA">
        <w:rPr>
          <w:rFonts w:asciiTheme="majorHAnsi" w:hAnsiTheme="majorHAnsi"/>
          <w:sz w:val="24"/>
          <w:szCs w:val="24"/>
        </w:rPr>
        <w:t xml:space="preserve">. </w:t>
      </w:r>
    </w:p>
    <w:p w:rsidR="00982BA9" w:rsidRPr="00E631DA" w:rsidRDefault="00FA342C" w:rsidP="008C5C73">
      <w:pPr>
        <w:pStyle w:val="Stav"/>
        <w:numPr>
          <w:ilvl w:val="0"/>
          <w:numId w:val="0"/>
        </w:numPr>
        <w:ind w:left="794"/>
        <w:rPr>
          <w:rFonts w:asciiTheme="majorHAnsi" w:hAnsiTheme="majorHAnsi"/>
          <w:sz w:val="24"/>
          <w:szCs w:val="24"/>
        </w:rPr>
      </w:pPr>
      <w:r w:rsidRPr="00E631DA">
        <w:rPr>
          <w:rFonts w:asciiTheme="majorHAnsi" w:hAnsiTheme="majorHAnsi"/>
          <w:sz w:val="24"/>
          <w:szCs w:val="24"/>
        </w:rPr>
        <w:t xml:space="preserve">Со денот на уписот во Регистарот, </w:t>
      </w:r>
      <w:r w:rsidR="00D6609E" w:rsidRPr="00E631DA">
        <w:rPr>
          <w:rFonts w:asciiTheme="majorHAnsi" w:hAnsiTheme="majorHAnsi"/>
          <w:sz w:val="24"/>
          <w:szCs w:val="24"/>
        </w:rPr>
        <w:t>давателот на услуги за балансирање</w:t>
      </w:r>
      <w:r w:rsidRPr="00E631DA">
        <w:rPr>
          <w:rFonts w:asciiTheme="majorHAnsi" w:hAnsiTheme="majorHAnsi"/>
          <w:sz w:val="24"/>
          <w:szCs w:val="24"/>
        </w:rPr>
        <w:t xml:space="preserve"> се стекнува со право да учествува на пазарот на балансна енергија</w:t>
      </w:r>
      <w:r w:rsidR="00343985" w:rsidRPr="00E631DA">
        <w:rPr>
          <w:rFonts w:asciiTheme="majorHAnsi" w:hAnsiTheme="majorHAnsi"/>
          <w:sz w:val="24"/>
          <w:szCs w:val="24"/>
        </w:rPr>
        <w:t xml:space="preserve"> како Давател на услуги за балансирање</w:t>
      </w:r>
      <w:r w:rsidR="00832611" w:rsidRPr="00E631DA">
        <w:rPr>
          <w:rFonts w:asciiTheme="majorHAnsi" w:hAnsiTheme="majorHAnsi"/>
          <w:sz w:val="24"/>
          <w:szCs w:val="24"/>
        </w:rPr>
        <w:t xml:space="preserve">. </w:t>
      </w:r>
    </w:p>
    <w:p w:rsidR="006E7162" w:rsidRPr="00E631DA" w:rsidRDefault="006E7162" w:rsidP="006E7162">
      <w:pPr>
        <w:suppressAutoHyphens w:val="0"/>
        <w:overflowPunct/>
        <w:autoSpaceDE/>
        <w:spacing w:before="240" w:after="120" w:line="276" w:lineRule="auto"/>
        <w:ind w:left="0"/>
        <w:jc w:val="center"/>
        <w:rPr>
          <w:rFonts w:asciiTheme="majorHAnsi" w:hAnsiTheme="majorHAnsi"/>
          <w:b/>
          <w:sz w:val="24"/>
          <w:szCs w:val="24"/>
          <w:lang w:val="mk-MK"/>
        </w:rPr>
      </w:pPr>
      <w:proofErr w:type="spellStart"/>
      <w:r w:rsidRPr="00E631DA">
        <w:rPr>
          <w:rFonts w:asciiTheme="majorHAnsi" w:hAnsiTheme="majorHAnsi"/>
          <w:b/>
          <w:sz w:val="24"/>
          <w:szCs w:val="24"/>
        </w:rPr>
        <w:t>Член</w:t>
      </w:r>
      <w:proofErr w:type="spellEnd"/>
      <w:r w:rsidRPr="00E631DA">
        <w:rPr>
          <w:rFonts w:asciiTheme="majorHAnsi" w:hAnsiTheme="majorHAnsi"/>
          <w:b/>
          <w:sz w:val="24"/>
          <w:szCs w:val="24"/>
        </w:rPr>
        <w:t xml:space="preserve"> </w:t>
      </w:r>
      <w:r w:rsidR="00FA342C" w:rsidRPr="00E631DA">
        <w:rPr>
          <w:rFonts w:asciiTheme="majorHAnsi" w:hAnsiTheme="majorHAnsi"/>
          <w:b/>
          <w:sz w:val="24"/>
          <w:szCs w:val="24"/>
          <w:lang w:val="mk-MK"/>
        </w:rPr>
        <w:t>3</w:t>
      </w:r>
    </w:p>
    <w:p w:rsidR="00832611" w:rsidRPr="00E631DA" w:rsidRDefault="00832611" w:rsidP="00E631DA">
      <w:pPr>
        <w:pStyle w:val="Stavovi"/>
        <w:numPr>
          <w:ilvl w:val="0"/>
          <w:numId w:val="0"/>
        </w:numPr>
        <w:ind w:left="720"/>
        <w:rPr>
          <w:rFonts w:asciiTheme="majorHAnsi" w:hAnsiTheme="majorHAnsi"/>
          <w:sz w:val="24"/>
          <w:szCs w:val="24"/>
        </w:rPr>
      </w:pPr>
      <w:r w:rsidRPr="00E631DA">
        <w:rPr>
          <w:rFonts w:asciiTheme="majorHAnsi" w:hAnsiTheme="majorHAnsi"/>
          <w:sz w:val="24"/>
          <w:szCs w:val="24"/>
          <w:shd w:val="clear" w:color="auto" w:fill="auto"/>
          <w:lang w:eastAsia="en-US"/>
        </w:rPr>
        <w:t>Со денот на уписот во Регистарот</w:t>
      </w:r>
      <w:r w:rsidR="002A4A74" w:rsidRPr="00E631DA">
        <w:rPr>
          <w:rFonts w:asciiTheme="majorHAnsi" w:hAnsiTheme="majorHAnsi"/>
          <w:sz w:val="24"/>
          <w:szCs w:val="24"/>
          <w:shd w:val="clear" w:color="auto" w:fill="auto"/>
          <w:lang w:val="en-US" w:eastAsia="en-US"/>
        </w:rPr>
        <w:t xml:space="preserve">, </w:t>
      </w:r>
      <w:r w:rsidR="002A4A74" w:rsidRPr="00E631DA">
        <w:rPr>
          <w:rFonts w:asciiTheme="majorHAnsi" w:hAnsiTheme="majorHAnsi"/>
          <w:sz w:val="24"/>
          <w:szCs w:val="24"/>
        </w:rPr>
        <w:t>Давателот на услуги за балансирање</w:t>
      </w:r>
      <w:r w:rsidRPr="00E631DA">
        <w:rPr>
          <w:rFonts w:asciiTheme="majorHAnsi" w:hAnsiTheme="majorHAnsi"/>
          <w:sz w:val="24"/>
          <w:szCs w:val="24"/>
          <w:shd w:val="clear" w:color="auto" w:fill="auto"/>
          <w:lang w:eastAsia="en-US"/>
        </w:rPr>
        <w:t xml:space="preserve"> стекнува право за учество на аукции</w:t>
      </w:r>
      <w:r w:rsidRPr="00E631DA">
        <w:rPr>
          <w:rFonts w:asciiTheme="majorHAnsi" w:hAnsiTheme="majorHAnsi"/>
          <w:sz w:val="24"/>
          <w:szCs w:val="24"/>
          <w:shd w:val="clear" w:color="auto" w:fill="auto"/>
          <w:lang w:val="en-US" w:eastAsia="en-US"/>
        </w:rPr>
        <w:t>,</w:t>
      </w:r>
      <w:r w:rsidRPr="00E631DA">
        <w:rPr>
          <w:rFonts w:asciiTheme="majorHAnsi" w:hAnsiTheme="majorHAnsi"/>
          <w:sz w:val="24"/>
          <w:szCs w:val="24"/>
          <w:shd w:val="clear" w:color="auto" w:fill="auto"/>
          <w:lang w:eastAsia="en-US"/>
        </w:rPr>
        <w:t xml:space="preserve"> односно има право да </w:t>
      </w:r>
      <w:r w:rsidR="003B3ED3" w:rsidRPr="00E631DA">
        <w:rPr>
          <w:rFonts w:asciiTheme="majorHAnsi" w:hAnsiTheme="majorHAnsi"/>
          <w:sz w:val="24"/>
          <w:szCs w:val="24"/>
          <w:shd w:val="clear" w:color="auto" w:fill="auto"/>
          <w:lang w:val="en-US" w:eastAsia="en-US"/>
        </w:rPr>
        <w:tab/>
      </w:r>
      <w:r w:rsidRPr="00E631DA">
        <w:rPr>
          <w:rFonts w:asciiTheme="majorHAnsi" w:hAnsiTheme="majorHAnsi"/>
          <w:sz w:val="24"/>
          <w:szCs w:val="24"/>
          <w:shd w:val="clear" w:color="auto" w:fill="auto"/>
          <w:lang w:eastAsia="en-US"/>
        </w:rPr>
        <w:t xml:space="preserve">поднесува понуди за балансен капацитет и балансна енергија во рамките на  капацитетот на неговите </w:t>
      </w:r>
      <w:r w:rsidR="003B3ED3" w:rsidRPr="00E631DA">
        <w:rPr>
          <w:rFonts w:asciiTheme="majorHAnsi" w:hAnsiTheme="majorHAnsi"/>
          <w:sz w:val="24"/>
          <w:szCs w:val="24"/>
          <w:shd w:val="clear" w:color="auto" w:fill="auto"/>
          <w:lang w:val="en-US" w:eastAsia="en-US"/>
        </w:rPr>
        <w:tab/>
      </w:r>
      <w:r w:rsidRPr="00E631DA">
        <w:rPr>
          <w:rFonts w:asciiTheme="majorHAnsi" w:hAnsiTheme="majorHAnsi"/>
          <w:sz w:val="24"/>
          <w:szCs w:val="24"/>
          <w:shd w:val="clear" w:color="auto" w:fill="auto"/>
          <w:lang w:eastAsia="en-US"/>
        </w:rPr>
        <w:t xml:space="preserve">балансни единици исполнувајќи ги условите дефинирани во Правилата за набавка на aFRR и </w:t>
      </w:r>
      <w:r w:rsidR="003B3ED3" w:rsidRPr="00E631DA">
        <w:rPr>
          <w:rFonts w:asciiTheme="majorHAnsi" w:hAnsiTheme="majorHAnsi"/>
          <w:sz w:val="24"/>
          <w:szCs w:val="24"/>
          <w:shd w:val="clear" w:color="auto" w:fill="auto"/>
          <w:lang w:val="en-US" w:eastAsia="en-US"/>
        </w:rPr>
        <w:tab/>
      </w:r>
      <w:r w:rsidRPr="00E631DA">
        <w:rPr>
          <w:rFonts w:asciiTheme="majorHAnsi" w:hAnsiTheme="majorHAnsi"/>
          <w:sz w:val="24"/>
          <w:szCs w:val="24"/>
          <w:shd w:val="clear" w:color="auto" w:fill="auto"/>
          <w:lang w:eastAsia="en-US"/>
        </w:rPr>
        <w:t>Правилата за набавка на mFRR</w:t>
      </w:r>
      <w:r w:rsidRPr="00E631DA">
        <w:rPr>
          <w:rFonts w:asciiTheme="majorHAnsi" w:hAnsiTheme="majorHAnsi"/>
          <w:sz w:val="24"/>
          <w:szCs w:val="24"/>
        </w:rPr>
        <w:t>.</w:t>
      </w:r>
    </w:p>
    <w:p w:rsidR="003B3ED3" w:rsidRPr="00E631DA" w:rsidRDefault="003B3ED3" w:rsidP="003B3ED3">
      <w:pPr>
        <w:suppressAutoHyphens w:val="0"/>
        <w:overflowPunct/>
        <w:autoSpaceDE/>
        <w:spacing w:before="240" w:after="120" w:line="276" w:lineRule="auto"/>
        <w:ind w:left="0"/>
        <w:jc w:val="center"/>
        <w:rPr>
          <w:rFonts w:asciiTheme="majorHAnsi" w:hAnsiTheme="majorHAnsi"/>
          <w:b/>
          <w:sz w:val="24"/>
          <w:szCs w:val="24"/>
          <w:lang w:val="en-US"/>
        </w:rPr>
      </w:pPr>
      <w:proofErr w:type="spellStart"/>
      <w:r w:rsidRPr="00E631DA">
        <w:rPr>
          <w:rFonts w:asciiTheme="majorHAnsi" w:hAnsiTheme="majorHAnsi"/>
          <w:b/>
          <w:sz w:val="24"/>
          <w:szCs w:val="24"/>
        </w:rPr>
        <w:t>Член</w:t>
      </w:r>
      <w:proofErr w:type="spellEnd"/>
      <w:r w:rsidRPr="00E631DA">
        <w:rPr>
          <w:rFonts w:asciiTheme="majorHAnsi" w:hAnsiTheme="majorHAnsi"/>
          <w:b/>
          <w:sz w:val="24"/>
          <w:szCs w:val="24"/>
        </w:rPr>
        <w:t xml:space="preserve"> </w:t>
      </w:r>
      <w:r w:rsidRPr="00E631DA">
        <w:rPr>
          <w:rFonts w:asciiTheme="majorHAnsi" w:hAnsiTheme="majorHAnsi"/>
          <w:b/>
          <w:sz w:val="24"/>
          <w:szCs w:val="24"/>
          <w:lang w:val="en-US"/>
        </w:rPr>
        <w:t>4</w:t>
      </w:r>
    </w:p>
    <w:p w:rsidR="006E7162" w:rsidRPr="00E631DA" w:rsidRDefault="006E7162" w:rsidP="003B7829">
      <w:pPr>
        <w:pStyle w:val="Stav"/>
        <w:numPr>
          <w:ilvl w:val="0"/>
          <w:numId w:val="0"/>
        </w:numPr>
        <w:ind w:left="794"/>
        <w:rPr>
          <w:rFonts w:asciiTheme="majorHAnsi" w:hAnsiTheme="majorHAnsi"/>
          <w:sz w:val="24"/>
          <w:szCs w:val="24"/>
        </w:rPr>
      </w:pPr>
      <w:r w:rsidRPr="00E631DA">
        <w:rPr>
          <w:rFonts w:asciiTheme="majorHAnsi" w:hAnsiTheme="majorHAnsi"/>
          <w:sz w:val="24"/>
          <w:szCs w:val="24"/>
        </w:rPr>
        <w:t>Под системски услуги се подразбира:</w:t>
      </w:r>
    </w:p>
    <w:p w:rsidR="002C25FD" w:rsidRPr="00E631DA" w:rsidRDefault="002C25FD" w:rsidP="002C25FD">
      <w:pPr>
        <w:pStyle w:val="Tocka"/>
        <w:numPr>
          <w:ilvl w:val="0"/>
          <w:numId w:val="3"/>
        </w:numPr>
        <w:rPr>
          <w:rFonts w:asciiTheme="majorHAnsi" w:hAnsiTheme="majorHAnsi"/>
          <w:sz w:val="24"/>
          <w:szCs w:val="24"/>
        </w:rPr>
      </w:pPr>
      <w:r w:rsidRPr="00E631DA">
        <w:rPr>
          <w:rFonts w:asciiTheme="majorHAnsi" w:hAnsiTheme="majorHAnsi"/>
          <w:sz w:val="24"/>
          <w:szCs w:val="24"/>
        </w:rPr>
        <w:t>Примарна регулација (FCR-Frequency Containment Reserve), е активна моќност расположива за одржување на фреквенцијата на системот, која се користи за регулирање на брзината на турбината која го следи отстапувањето на фреквенцијата од номиналната вредност поради неизбалансираност на производството и потрошувачката во синхронизирани и меѓусебно поврзани системи</w:t>
      </w:r>
    </w:p>
    <w:p w:rsidR="002C25FD" w:rsidRPr="00E631DA" w:rsidRDefault="002C25FD" w:rsidP="00B40AD0">
      <w:pPr>
        <w:pStyle w:val="Tocka"/>
        <w:numPr>
          <w:ilvl w:val="0"/>
          <w:numId w:val="0"/>
        </w:numPr>
        <w:ind w:left="794"/>
        <w:rPr>
          <w:rFonts w:asciiTheme="majorHAnsi" w:hAnsiTheme="majorHAnsi"/>
          <w:sz w:val="24"/>
          <w:szCs w:val="24"/>
        </w:rPr>
      </w:pPr>
      <w:r w:rsidRPr="00E631DA">
        <w:rPr>
          <w:rFonts w:asciiTheme="majorHAnsi" w:hAnsiTheme="majorHAnsi"/>
          <w:sz w:val="24"/>
          <w:szCs w:val="24"/>
        </w:rPr>
        <w:t xml:space="preserve">Резерва за обновување на фреквенцијата (FRR- Frequency Restoration Reserve) е резерва на активна моќност која ги вклучува aFRR и mFRR; </w:t>
      </w:r>
    </w:p>
    <w:p w:rsidR="002C25FD" w:rsidRPr="00E631DA" w:rsidRDefault="002C25FD" w:rsidP="002C25FD">
      <w:pPr>
        <w:pStyle w:val="Tocka"/>
        <w:numPr>
          <w:ilvl w:val="0"/>
          <w:numId w:val="3"/>
        </w:numPr>
        <w:rPr>
          <w:rFonts w:asciiTheme="majorHAnsi" w:hAnsiTheme="majorHAnsi"/>
          <w:sz w:val="24"/>
          <w:szCs w:val="24"/>
        </w:rPr>
      </w:pPr>
      <w:r w:rsidRPr="00E631DA">
        <w:rPr>
          <w:rFonts w:asciiTheme="majorHAnsi" w:hAnsiTheme="majorHAnsi"/>
          <w:sz w:val="24"/>
          <w:szCs w:val="24"/>
        </w:rPr>
        <w:t xml:space="preserve">Секундарна регулација (aFRR) наречена автоматска резерва за обновување на фреквенцијата, т.е. резерва на активна моќност што може да се активира со уред за автоматска контрола за повторно враќање на фреквенцијата на системот на номинална вредност; </w:t>
      </w:r>
    </w:p>
    <w:p w:rsidR="002C25FD" w:rsidRPr="00E631DA" w:rsidRDefault="002C25FD" w:rsidP="002C25FD">
      <w:pPr>
        <w:pStyle w:val="Tocka"/>
        <w:numPr>
          <w:ilvl w:val="0"/>
          <w:numId w:val="3"/>
        </w:numPr>
        <w:rPr>
          <w:rFonts w:asciiTheme="majorHAnsi" w:hAnsiTheme="majorHAnsi"/>
          <w:sz w:val="24"/>
          <w:szCs w:val="24"/>
        </w:rPr>
      </w:pPr>
      <w:r w:rsidRPr="00E631DA">
        <w:rPr>
          <w:rFonts w:asciiTheme="majorHAnsi" w:hAnsiTheme="majorHAnsi"/>
          <w:sz w:val="24"/>
          <w:szCs w:val="24"/>
        </w:rPr>
        <w:t>Терциерна регулација (mFRR) наречена мануелна Резерва за обновување на фреквенцијата, т.е. резерва на активна моќност што може да се активира со уред за мануелна контрола за повторно  враќање на фреквенцијата на системот на номинална вредност;</w:t>
      </w:r>
    </w:p>
    <w:p w:rsidR="002C25FD" w:rsidRPr="00E631DA" w:rsidRDefault="002C25FD" w:rsidP="002C25FD">
      <w:pPr>
        <w:pStyle w:val="Tocka"/>
        <w:numPr>
          <w:ilvl w:val="0"/>
          <w:numId w:val="3"/>
        </w:numPr>
        <w:rPr>
          <w:rFonts w:asciiTheme="majorHAnsi" w:hAnsiTheme="majorHAnsi"/>
          <w:sz w:val="24"/>
          <w:szCs w:val="24"/>
        </w:rPr>
      </w:pPr>
      <w:r w:rsidRPr="00E631DA">
        <w:rPr>
          <w:rFonts w:asciiTheme="majorHAnsi" w:hAnsiTheme="majorHAnsi"/>
          <w:sz w:val="24"/>
          <w:szCs w:val="24"/>
        </w:rPr>
        <w:t>Резерва на активна моќност (RR) е резерва расположлива за повторно враќање или поддршка на бараното ниво на FRR, за да FRR биде спремна за дополнителни отстапувања на системот, вклучувајќи ги и отстапувањата на производните  резерви;</w:t>
      </w:r>
    </w:p>
    <w:p w:rsidR="006E7162" w:rsidRPr="00E631DA" w:rsidRDefault="006E7162" w:rsidP="00681412">
      <w:pPr>
        <w:pStyle w:val="Tocka"/>
        <w:numPr>
          <w:ilvl w:val="0"/>
          <w:numId w:val="3"/>
        </w:numPr>
        <w:rPr>
          <w:rFonts w:asciiTheme="majorHAnsi" w:hAnsiTheme="majorHAnsi"/>
          <w:sz w:val="24"/>
          <w:szCs w:val="24"/>
        </w:rPr>
      </w:pPr>
      <w:r w:rsidRPr="00E631DA">
        <w:rPr>
          <w:rFonts w:asciiTheme="majorHAnsi" w:hAnsiTheme="majorHAnsi"/>
          <w:sz w:val="24"/>
          <w:szCs w:val="24"/>
        </w:rPr>
        <w:t>регулација на напон, и</w:t>
      </w:r>
    </w:p>
    <w:p w:rsidR="006E7162" w:rsidRPr="00E631DA" w:rsidRDefault="006E7162" w:rsidP="00681412">
      <w:pPr>
        <w:pStyle w:val="Tocka"/>
        <w:numPr>
          <w:ilvl w:val="0"/>
          <w:numId w:val="3"/>
        </w:numPr>
        <w:rPr>
          <w:rFonts w:asciiTheme="majorHAnsi" w:hAnsiTheme="majorHAnsi"/>
          <w:sz w:val="24"/>
          <w:szCs w:val="24"/>
        </w:rPr>
      </w:pPr>
      <w:r w:rsidRPr="00E631DA">
        <w:rPr>
          <w:rFonts w:asciiTheme="majorHAnsi" w:hAnsiTheme="majorHAnsi"/>
          <w:sz w:val="24"/>
          <w:szCs w:val="24"/>
        </w:rPr>
        <w:t>повторно воспоставување на ЕЕС од безнапонска состојба (black start).</w:t>
      </w:r>
    </w:p>
    <w:p w:rsidR="003B3ED3" w:rsidRPr="00E631DA" w:rsidRDefault="003B3ED3" w:rsidP="00A032B0">
      <w:pPr>
        <w:pStyle w:val="Clen"/>
        <w:rPr>
          <w:rFonts w:asciiTheme="majorHAnsi" w:hAnsiTheme="majorHAnsi"/>
          <w:sz w:val="24"/>
          <w:szCs w:val="24"/>
        </w:rPr>
      </w:pPr>
    </w:p>
    <w:p w:rsidR="003B3ED3" w:rsidRPr="00E631DA" w:rsidRDefault="003B3ED3" w:rsidP="003B3ED3">
      <w:pPr>
        <w:pStyle w:val="Stav"/>
        <w:numPr>
          <w:ilvl w:val="0"/>
          <w:numId w:val="0"/>
        </w:numPr>
        <w:ind w:left="794" w:hanging="794"/>
        <w:rPr>
          <w:rFonts w:asciiTheme="majorHAnsi" w:hAnsiTheme="majorHAnsi"/>
          <w:sz w:val="24"/>
          <w:szCs w:val="24"/>
          <w:lang w:val="fr-CA" w:eastAsia="ar-SA"/>
        </w:rPr>
      </w:pPr>
    </w:p>
    <w:p w:rsidR="003B3ED3" w:rsidRPr="00E631DA" w:rsidRDefault="003B3ED3" w:rsidP="003B3ED3">
      <w:pPr>
        <w:pStyle w:val="Stav"/>
        <w:numPr>
          <w:ilvl w:val="0"/>
          <w:numId w:val="0"/>
        </w:numPr>
        <w:ind w:left="794" w:hanging="794"/>
        <w:rPr>
          <w:rFonts w:asciiTheme="majorHAnsi" w:hAnsiTheme="majorHAnsi"/>
          <w:sz w:val="24"/>
          <w:szCs w:val="24"/>
          <w:lang w:val="fr-CA" w:eastAsia="ar-SA"/>
        </w:rPr>
      </w:pPr>
    </w:p>
    <w:p w:rsidR="003B3ED3" w:rsidRPr="00E631DA" w:rsidRDefault="003B3ED3" w:rsidP="003B3ED3">
      <w:pPr>
        <w:pStyle w:val="Stav"/>
        <w:numPr>
          <w:ilvl w:val="0"/>
          <w:numId w:val="0"/>
        </w:numPr>
        <w:ind w:left="794" w:hanging="794"/>
        <w:rPr>
          <w:rFonts w:asciiTheme="majorHAnsi" w:hAnsiTheme="majorHAnsi"/>
          <w:sz w:val="24"/>
          <w:szCs w:val="24"/>
          <w:lang w:val="fr-CA" w:eastAsia="ar-SA"/>
        </w:rPr>
      </w:pPr>
    </w:p>
    <w:p w:rsidR="003B3ED3" w:rsidRPr="00E631DA" w:rsidRDefault="003B3ED3" w:rsidP="003B3ED3">
      <w:pPr>
        <w:pStyle w:val="Stav"/>
        <w:numPr>
          <w:ilvl w:val="0"/>
          <w:numId w:val="0"/>
        </w:numPr>
        <w:ind w:left="794" w:hanging="794"/>
        <w:rPr>
          <w:rFonts w:asciiTheme="majorHAnsi" w:hAnsiTheme="majorHAnsi"/>
          <w:sz w:val="24"/>
          <w:szCs w:val="24"/>
          <w:lang w:val="fr-CA" w:eastAsia="ar-SA"/>
        </w:rPr>
      </w:pPr>
    </w:p>
    <w:p w:rsidR="00A032B0" w:rsidRPr="00E631DA" w:rsidRDefault="00A032B0" w:rsidP="00A032B0">
      <w:pPr>
        <w:pStyle w:val="Clen"/>
        <w:rPr>
          <w:rFonts w:asciiTheme="majorHAnsi" w:hAnsiTheme="majorHAnsi"/>
          <w:sz w:val="24"/>
          <w:szCs w:val="24"/>
          <w:lang w:val="en-US"/>
        </w:rPr>
      </w:pPr>
      <w:proofErr w:type="spellStart"/>
      <w:r w:rsidRPr="00E631DA">
        <w:rPr>
          <w:rFonts w:asciiTheme="majorHAnsi" w:hAnsiTheme="majorHAnsi"/>
          <w:sz w:val="24"/>
          <w:szCs w:val="24"/>
        </w:rPr>
        <w:lastRenderedPageBreak/>
        <w:t>Член</w:t>
      </w:r>
      <w:proofErr w:type="spellEnd"/>
      <w:r w:rsidRPr="00E631DA">
        <w:rPr>
          <w:rFonts w:asciiTheme="majorHAnsi" w:hAnsiTheme="majorHAnsi"/>
          <w:sz w:val="24"/>
          <w:szCs w:val="24"/>
        </w:rPr>
        <w:t xml:space="preserve"> </w:t>
      </w:r>
      <w:r w:rsidR="003B3ED3" w:rsidRPr="00E631DA">
        <w:rPr>
          <w:rFonts w:asciiTheme="majorHAnsi" w:hAnsiTheme="majorHAnsi"/>
          <w:sz w:val="24"/>
          <w:szCs w:val="24"/>
        </w:rPr>
        <w:t>5</w:t>
      </w:r>
    </w:p>
    <w:p w:rsidR="00485AB8" w:rsidRPr="00E631DA" w:rsidRDefault="00485AB8" w:rsidP="00E631DA">
      <w:pPr>
        <w:pStyle w:val="Stavovi"/>
        <w:numPr>
          <w:ilvl w:val="0"/>
          <w:numId w:val="0"/>
        </w:numPr>
        <w:ind w:left="720"/>
        <w:rPr>
          <w:rFonts w:asciiTheme="majorHAnsi" w:hAnsiTheme="majorHAnsi"/>
          <w:sz w:val="24"/>
          <w:szCs w:val="24"/>
        </w:rPr>
      </w:pPr>
      <w:r w:rsidRPr="00E631DA">
        <w:rPr>
          <w:rFonts w:asciiTheme="majorHAnsi" w:hAnsiTheme="majorHAnsi"/>
          <w:sz w:val="24"/>
          <w:szCs w:val="24"/>
        </w:rPr>
        <w:t xml:space="preserve">Со овој Договор се потврдува дека Барателот ги исполнил критериумите за </w:t>
      </w:r>
      <w:r w:rsidR="00DF7CD7" w:rsidRPr="00E631DA">
        <w:rPr>
          <w:rFonts w:asciiTheme="majorHAnsi" w:hAnsiTheme="majorHAnsi"/>
          <w:sz w:val="24"/>
          <w:szCs w:val="24"/>
        </w:rPr>
        <w:t xml:space="preserve">стекнување на статус на Давател на услуги за балансирање согласно Правилата за балансирање на ЕЕС за </w:t>
      </w:r>
      <w:r w:rsidRPr="00E631DA">
        <w:rPr>
          <w:rFonts w:asciiTheme="majorHAnsi" w:hAnsiTheme="majorHAnsi"/>
          <w:sz w:val="24"/>
          <w:szCs w:val="24"/>
        </w:rPr>
        <w:t>упис во Регистар и тоа</w:t>
      </w:r>
      <w:r w:rsidRPr="00E631DA">
        <w:rPr>
          <w:rFonts w:asciiTheme="majorHAnsi" w:hAnsiTheme="majorHAnsi"/>
          <w:sz w:val="24"/>
          <w:szCs w:val="24"/>
          <w:lang w:val="en-US"/>
        </w:rPr>
        <w:t xml:space="preserve">: </w:t>
      </w:r>
    </w:p>
    <w:p w:rsidR="00485AB8" w:rsidRPr="00E631DA" w:rsidRDefault="00485AB8" w:rsidP="00E631DA">
      <w:pPr>
        <w:pStyle w:val="Stavovi"/>
        <w:numPr>
          <w:ilvl w:val="0"/>
          <w:numId w:val="35"/>
        </w:numPr>
        <w:ind w:left="1710"/>
        <w:rPr>
          <w:rFonts w:asciiTheme="majorHAnsi" w:hAnsiTheme="majorHAnsi"/>
          <w:sz w:val="24"/>
          <w:szCs w:val="24"/>
          <w:lang w:val="en-US"/>
        </w:rPr>
      </w:pPr>
      <w:r w:rsidRPr="00E631DA">
        <w:rPr>
          <w:rFonts w:asciiTheme="majorHAnsi" w:hAnsiTheme="majorHAnsi"/>
          <w:sz w:val="24"/>
          <w:szCs w:val="24"/>
        </w:rPr>
        <w:t>БРДУБ формулар</w:t>
      </w:r>
      <w:r w:rsidR="00DF7CD7" w:rsidRPr="00E631DA">
        <w:rPr>
          <w:rFonts w:asciiTheme="majorHAnsi" w:hAnsiTheme="majorHAnsi"/>
          <w:sz w:val="24"/>
          <w:szCs w:val="24"/>
        </w:rPr>
        <w:t>,</w:t>
      </w:r>
    </w:p>
    <w:p w:rsidR="00485AB8" w:rsidRPr="00E631DA" w:rsidRDefault="00906C5C" w:rsidP="00E631DA">
      <w:pPr>
        <w:pStyle w:val="Stavovi"/>
        <w:numPr>
          <w:ilvl w:val="0"/>
          <w:numId w:val="35"/>
        </w:numPr>
        <w:ind w:left="1710"/>
        <w:rPr>
          <w:rFonts w:asciiTheme="majorHAnsi" w:hAnsiTheme="majorHAnsi"/>
          <w:sz w:val="24"/>
          <w:szCs w:val="24"/>
        </w:rPr>
      </w:pPr>
      <w:r w:rsidRPr="00E631DA">
        <w:rPr>
          <w:rFonts w:asciiTheme="majorHAnsi" w:hAnsiTheme="majorHAnsi"/>
          <w:sz w:val="24"/>
          <w:szCs w:val="24"/>
        </w:rPr>
        <w:t>Соодветен о</w:t>
      </w:r>
      <w:r w:rsidR="00485AB8" w:rsidRPr="00E631DA">
        <w:rPr>
          <w:rFonts w:asciiTheme="majorHAnsi" w:hAnsiTheme="majorHAnsi"/>
          <w:sz w:val="24"/>
          <w:szCs w:val="24"/>
        </w:rPr>
        <w:t>бразец за динамички параметри на балансни единици</w:t>
      </w:r>
      <w:r w:rsidR="00DF7CD7" w:rsidRPr="00E631DA">
        <w:rPr>
          <w:rFonts w:asciiTheme="majorHAnsi" w:hAnsiTheme="majorHAnsi"/>
          <w:sz w:val="24"/>
          <w:szCs w:val="24"/>
        </w:rPr>
        <w:t xml:space="preserve"> и </w:t>
      </w:r>
    </w:p>
    <w:p w:rsidR="00DF7CD7" w:rsidRPr="00E631DA" w:rsidRDefault="00314CE6" w:rsidP="00E631DA">
      <w:pPr>
        <w:pStyle w:val="Stavovi"/>
        <w:numPr>
          <w:ilvl w:val="0"/>
          <w:numId w:val="35"/>
        </w:numPr>
        <w:ind w:left="1710"/>
        <w:rPr>
          <w:rFonts w:asciiTheme="majorHAnsi" w:hAnsiTheme="majorHAnsi"/>
          <w:sz w:val="24"/>
          <w:szCs w:val="24"/>
        </w:rPr>
      </w:pPr>
      <w:r w:rsidRPr="00E631DA">
        <w:rPr>
          <w:rFonts w:asciiTheme="majorHAnsi" w:hAnsiTheme="majorHAnsi"/>
          <w:sz w:val="24"/>
          <w:szCs w:val="24"/>
        </w:rPr>
        <w:t>Техничко тестирање на балансните единици</w:t>
      </w:r>
      <w:r w:rsidR="00DF7CD7" w:rsidRPr="00E631DA">
        <w:rPr>
          <w:rFonts w:asciiTheme="majorHAnsi" w:hAnsiTheme="majorHAnsi"/>
          <w:sz w:val="24"/>
          <w:szCs w:val="24"/>
        </w:rPr>
        <w:t xml:space="preserve">, </w:t>
      </w:r>
      <w:r w:rsidRPr="00E631DA">
        <w:rPr>
          <w:rFonts w:asciiTheme="majorHAnsi" w:hAnsiTheme="majorHAnsi"/>
          <w:sz w:val="24"/>
          <w:szCs w:val="24"/>
        </w:rPr>
        <w:t xml:space="preserve"> </w:t>
      </w:r>
    </w:p>
    <w:p w:rsidR="00314CE6" w:rsidRPr="00E631DA" w:rsidRDefault="00DF7CD7" w:rsidP="00E631DA">
      <w:pPr>
        <w:pStyle w:val="Stavovi"/>
        <w:numPr>
          <w:ilvl w:val="0"/>
          <w:numId w:val="0"/>
        </w:numPr>
        <w:ind w:left="720"/>
        <w:rPr>
          <w:rFonts w:asciiTheme="majorHAnsi" w:hAnsiTheme="majorHAnsi"/>
          <w:sz w:val="24"/>
          <w:szCs w:val="24"/>
        </w:rPr>
      </w:pPr>
      <w:r w:rsidRPr="00E631DA">
        <w:rPr>
          <w:rFonts w:asciiTheme="majorHAnsi" w:hAnsiTheme="majorHAnsi"/>
          <w:sz w:val="24"/>
          <w:szCs w:val="24"/>
        </w:rPr>
        <w:t xml:space="preserve">одобрени </w:t>
      </w:r>
      <w:r w:rsidR="00314CE6" w:rsidRPr="00E631DA">
        <w:rPr>
          <w:rFonts w:asciiTheme="majorHAnsi" w:hAnsiTheme="majorHAnsi"/>
          <w:sz w:val="24"/>
          <w:szCs w:val="24"/>
        </w:rPr>
        <w:t xml:space="preserve">од страна на АД МЕПСО </w:t>
      </w:r>
    </w:p>
    <w:p w:rsidR="00445893" w:rsidRPr="00E631DA" w:rsidRDefault="00445893" w:rsidP="00445893">
      <w:pPr>
        <w:pStyle w:val="Stav"/>
        <w:numPr>
          <w:ilvl w:val="0"/>
          <w:numId w:val="0"/>
        </w:numPr>
        <w:ind w:left="794" w:hanging="794"/>
        <w:rPr>
          <w:rFonts w:asciiTheme="majorHAnsi" w:hAnsiTheme="majorHAnsi"/>
          <w:sz w:val="24"/>
          <w:szCs w:val="24"/>
          <w:lang w:eastAsia="ar-SA"/>
        </w:rPr>
      </w:pPr>
    </w:p>
    <w:p w:rsidR="003B7829" w:rsidRPr="00E631DA" w:rsidRDefault="003B7829" w:rsidP="003B7829">
      <w:pPr>
        <w:pStyle w:val="Clen"/>
        <w:rPr>
          <w:rFonts w:asciiTheme="majorHAnsi" w:hAnsiTheme="majorHAnsi"/>
          <w:sz w:val="24"/>
          <w:szCs w:val="24"/>
          <w:lang w:val="en-US"/>
        </w:rPr>
      </w:pPr>
      <w:proofErr w:type="spellStart"/>
      <w:r w:rsidRPr="00E631DA">
        <w:rPr>
          <w:rFonts w:asciiTheme="majorHAnsi" w:hAnsiTheme="majorHAnsi"/>
          <w:sz w:val="24"/>
          <w:szCs w:val="24"/>
        </w:rPr>
        <w:t>Член</w:t>
      </w:r>
      <w:proofErr w:type="spellEnd"/>
      <w:r w:rsidRPr="00E631DA">
        <w:rPr>
          <w:rFonts w:asciiTheme="majorHAnsi" w:hAnsiTheme="majorHAnsi"/>
          <w:sz w:val="24"/>
          <w:szCs w:val="24"/>
        </w:rPr>
        <w:t xml:space="preserve"> </w:t>
      </w:r>
      <w:r w:rsidR="003B3ED3" w:rsidRPr="00E631DA">
        <w:rPr>
          <w:rFonts w:asciiTheme="majorHAnsi" w:hAnsiTheme="majorHAnsi"/>
          <w:sz w:val="24"/>
          <w:szCs w:val="24"/>
          <w:lang w:val="en-US"/>
        </w:rPr>
        <w:t>6</w:t>
      </w:r>
    </w:p>
    <w:p w:rsidR="002908E0" w:rsidRPr="00E631DA" w:rsidRDefault="002908E0" w:rsidP="00485AB8">
      <w:pPr>
        <w:pStyle w:val="Stavovi"/>
        <w:numPr>
          <w:ilvl w:val="0"/>
          <w:numId w:val="0"/>
        </w:numPr>
        <w:ind w:left="450"/>
        <w:rPr>
          <w:rFonts w:asciiTheme="majorHAnsi" w:hAnsiTheme="majorHAnsi"/>
          <w:sz w:val="24"/>
          <w:szCs w:val="24"/>
        </w:rPr>
      </w:pPr>
    </w:p>
    <w:p w:rsidR="007074E4" w:rsidRPr="00E631DA" w:rsidRDefault="00445893" w:rsidP="00E631DA">
      <w:pPr>
        <w:pStyle w:val="Stavovi"/>
        <w:numPr>
          <w:ilvl w:val="0"/>
          <w:numId w:val="0"/>
        </w:numPr>
        <w:ind w:left="458"/>
        <w:rPr>
          <w:rFonts w:asciiTheme="majorHAnsi" w:hAnsiTheme="majorHAnsi"/>
          <w:sz w:val="24"/>
          <w:szCs w:val="24"/>
        </w:rPr>
      </w:pPr>
      <w:r w:rsidRPr="00E631DA">
        <w:rPr>
          <w:rFonts w:asciiTheme="majorHAnsi" w:hAnsiTheme="majorHAnsi"/>
          <w:sz w:val="24"/>
          <w:szCs w:val="24"/>
        </w:rPr>
        <w:t xml:space="preserve">Согласно Правилата за балансирање на ЕЕС, </w:t>
      </w:r>
      <w:r w:rsidR="007074E4" w:rsidRPr="00E631DA">
        <w:rPr>
          <w:rFonts w:asciiTheme="majorHAnsi" w:hAnsiTheme="majorHAnsi"/>
          <w:sz w:val="24"/>
          <w:szCs w:val="24"/>
        </w:rPr>
        <w:t>АД МЕПСО има прав</w:t>
      </w:r>
      <w:r w:rsidRPr="00E631DA">
        <w:rPr>
          <w:rFonts w:asciiTheme="majorHAnsi" w:hAnsiTheme="majorHAnsi"/>
          <w:sz w:val="24"/>
          <w:szCs w:val="24"/>
        </w:rPr>
        <w:t>о да побара повторно тестирање</w:t>
      </w:r>
      <w:r w:rsidR="007074E4" w:rsidRPr="00E631DA">
        <w:rPr>
          <w:rFonts w:asciiTheme="majorHAnsi" w:hAnsiTheme="majorHAnsi"/>
          <w:sz w:val="24"/>
          <w:szCs w:val="24"/>
        </w:rPr>
        <w:t xml:space="preserve"> на балансни</w:t>
      </w:r>
      <w:r w:rsidRPr="00E631DA">
        <w:rPr>
          <w:rFonts w:asciiTheme="majorHAnsi" w:hAnsiTheme="majorHAnsi"/>
          <w:sz w:val="24"/>
          <w:szCs w:val="24"/>
        </w:rPr>
        <w:t>те</w:t>
      </w:r>
      <w:r w:rsidR="007074E4" w:rsidRPr="00E631DA">
        <w:rPr>
          <w:rFonts w:asciiTheme="majorHAnsi" w:hAnsiTheme="majorHAnsi"/>
          <w:sz w:val="24"/>
          <w:szCs w:val="24"/>
        </w:rPr>
        <w:t xml:space="preserve"> единици на </w:t>
      </w:r>
      <w:r w:rsidR="002A4A74" w:rsidRPr="00E631DA">
        <w:rPr>
          <w:rFonts w:asciiTheme="majorHAnsi" w:hAnsiTheme="majorHAnsi"/>
          <w:sz w:val="24"/>
          <w:szCs w:val="24"/>
        </w:rPr>
        <w:t>Давателот на услуги за балансирање</w:t>
      </w:r>
      <w:r w:rsidR="007074E4" w:rsidRPr="00E631DA">
        <w:rPr>
          <w:rFonts w:asciiTheme="majorHAnsi" w:hAnsiTheme="majorHAnsi"/>
          <w:sz w:val="24"/>
          <w:szCs w:val="24"/>
        </w:rPr>
        <w:t xml:space="preserve"> за FCR, aFRR, или mFRR, :</w:t>
      </w:r>
    </w:p>
    <w:p w:rsidR="007074E4" w:rsidRPr="00E631DA" w:rsidRDefault="007074E4" w:rsidP="00E631DA">
      <w:pPr>
        <w:pStyle w:val="ListParagraph"/>
        <w:numPr>
          <w:ilvl w:val="0"/>
          <w:numId w:val="33"/>
        </w:numPr>
        <w:tabs>
          <w:tab w:val="left" w:pos="340"/>
        </w:tabs>
        <w:suppressAutoHyphens w:val="0"/>
        <w:overflowPunct/>
        <w:autoSpaceDE/>
        <w:ind w:left="822"/>
        <w:contextualSpacing w:val="0"/>
        <w:jc w:val="both"/>
        <w:rPr>
          <w:rFonts w:asciiTheme="majorHAnsi" w:hAnsiTheme="majorHAnsi"/>
          <w:sz w:val="24"/>
          <w:szCs w:val="24"/>
        </w:rPr>
      </w:pPr>
      <w:proofErr w:type="spellStart"/>
      <w:r w:rsidRPr="00E631DA">
        <w:rPr>
          <w:rFonts w:asciiTheme="majorHAnsi" w:hAnsiTheme="majorHAnsi"/>
          <w:sz w:val="24"/>
          <w:szCs w:val="24"/>
        </w:rPr>
        <w:t>Најмалку</w:t>
      </w:r>
      <w:proofErr w:type="spellEnd"/>
      <w:r w:rsidRPr="00E631DA">
        <w:rPr>
          <w:rFonts w:asciiTheme="majorHAnsi" w:hAnsiTheme="majorHAnsi"/>
          <w:sz w:val="24"/>
          <w:szCs w:val="24"/>
        </w:rPr>
        <w:t xml:space="preserve"> </w:t>
      </w:r>
      <w:proofErr w:type="spellStart"/>
      <w:r w:rsidRPr="00E631DA">
        <w:rPr>
          <w:rFonts w:asciiTheme="majorHAnsi" w:hAnsiTheme="majorHAnsi"/>
          <w:sz w:val="24"/>
          <w:szCs w:val="24"/>
        </w:rPr>
        <w:t>еднаш</w:t>
      </w:r>
      <w:proofErr w:type="spellEnd"/>
      <w:r w:rsidRPr="00E631DA">
        <w:rPr>
          <w:rFonts w:asciiTheme="majorHAnsi" w:hAnsiTheme="majorHAnsi"/>
          <w:sz w:val="24"/>
          <w:szCs w:val="24"/>
        </w:rPr>
        <w:t xml:space="preserve"> на </w:t>
      </w:r>
      <w:proofErr w:type="spellStart"/>
      <w:r w:rsidRPr="00E631DA">
        <w:rPr>
          <w:rFonts w:asciiTheme="majorHAnsi" w:hAnsiTheme="majorHAnsi"/>
          <w:sz w:val="24"/>
          <w:szCs w:val="24"/>
        </w:rPr>
        <w:t>секои</w:t>
      </w:r>
      <w:proofErr w:type="spellEnd"/>
      <w:r w:rsidRPr="00E631DA">
        <w:rPr>
          <w:rFonts w:asciiTheme="majorHAnsi" w:hAnsiTheme="majorHAnsi"/>
          <w:sz w:val="24"/>
          <w:szCs w:val="24"/>
        </w:rPr>
        <w:t xml:space="preserve"> </w:t>
      </w:r>
      <w:proofErr w:type="spellStart"/>
      <w:r w:rsidRPr="00E631DA">
        <w:rPr>
          <w:rFonts w:asciiTheme="majorHAnsi" w:hAnsiTheme="majorHAnsi"/>
          <w:sz w:val="24"/>
          <w:szCs w:val="24"/>
        </w:rPr>
        <w:t>пет</w:t>
      </w:r>
      <w:proofErr w:type="spellEnd"/>
      <w:r w:rsidRPr="00E631DA">
        <w:rPr>
          <w:rFonts w:asciiTheme="majorHAnsi" w:hAnsiTheme="majorHAnsi"/>
          <w:sz w:val="24"/>
          <w:szCs w:val="24"/>
        </w:rPr>
        <w:t xml:space="preserve"> </w:t>
      </w:r>
      <w:proofErr w:type="spellStart"/>
      <w:r w:rsidRPr="00E631DA">
        <w:rPr>
          <w:rFonts w:asciiTheme="majorHAnsi" w:hAnsiTheme="majorHAnsi"/>
          <w:sz w:val="24"/>
          <w:szCs w:val="24"/>
        </w:rPr>
        <w:t>години</w:t>
      </w:r>
      <w:proofErr w:type="spellEnd"/>
      <w:r w:rsidRPr="00E631DA">
        <w:rPr>
          <w:rFonts w:asciiTheme="majorHAnsi" w:hAnsiTheme="majorHAnsi"/>
          <w:sz w:val="24"/>
          <w:szCs w:val="24"/>
        </w:rPr>
        <w:t>;</w:t>
      </w:r>
    </w:p>
    <w:p w:rsidR="007074E4" w:rsidRPr="00E631DA" w:rsidRDefault="007074E4" w:rsidP="00E631DA">
      <w:pPr>
        <w:pStyle w:val="ListParagraph"/>
        <w:numPr>
          <w:ilvl w:val="0"/>
          <w:numId w:val="31"/>
        </w:numPr>
        <w:tabs>
          <w:tab w:val="left" w:pos="340"/>
        </w:tabs>
        <w:suppressAutoHyphens w:val="0"/>
        <w:overflowPunct/>
        <w:autoSpaceDE/>
        <w:ind w:left="822"/>
        <w:contextualSpacing w:val="0"/>
        <w:jc w:val="both"/>
        <w:rPr>
          <w:rFonts w:asciiTheme="majorHAnsi" w:hAnsiTheme="majorHAnsi"/>
          <w:sz w:val="24"/>
          <w:szCs w:val="24"/>
        </w:rPr>
      </w:pPr>
      <w:r w:rsidRPr="00E631DA">
        <w:rPr>
          <w:rFonts w:asciiTheme="majorHAnsi" w:hAnsiTheme="majorHAnsi"/>
          <w:sz w:val="24"/>
          <w:szCs w:val="24"/>
        </w:rPr>
        <w:t xml:space="preserve">Во </w:t>
      </w:r>
      <w:proofErr w:type="spellStart"/>
      <w:r w:rsidRPr="00E631DA">
        <w:rPr>
          <w:rFonts w:asciiTheme="majorHAnsi" w:hAnsiTheme="majorHAnsi"/>
          <w:sz w:val="24"/>
          <w:szCs w:val="24"/>
        </w:rPr>
        <w:t>случај</w:t>
      </w:r>
      <w:proofErr w:type="spellEnd"/>
      <w:r w:rsidRPr="00E631DA">
        <w:rPr>
          <w:rFonts w:asciiTheme="majorHAnsi" w:hAnsiTheme="majorHAnsi"/>
          <w:sz w:val="24"/>
          <w:szCs w:val="24"/>
        </w:rPr>
        <w:t xml:space="preserve"> на </w:t>
      </w:r>
      <w:proofErr w:type="spellStart"/>
      <w:r w:rsidRPr="00E631DA">
        <w:rPr>
          <w:rFonts w:asciiTheme="majorHAnsi" w:hAnsiTheme="majorHAnsi"/>
          <w:sz w:val="24"/>
          <w:szCs w:val="24"/>
        </w:rPr>
        <w:t>промена</w:t>
      </w:r>
      <w:proofErr w:type="spellEnd"/>
      <w:r w:rsidRPr="00E631DA">
        <w:rPr>
          <w:rFonts w:asciiTheme="majorHAnsi" w:hAnsiTheme="majorHAnsi"/>
          <w:sz w:val="24"/>
          <w:szCs w:val="24"/>
        </w:rPr>
        <w:t xml:space="preserve"> на </w:t>
      </w:r>
      <w:proofErr w:type="spellStart"/>
      <w:r w:rsidRPr="00E631DA">
        <w:rPr>
          <w:rFonts w:asciiTheme="majorHAnsi" w:hAnsiTheme="majorHAnsi"/>
          <w:sz w:val="24"/>
          <w:szCs w:val="24"/>
        </w:rPr>
        <w:t>техничките</w:t>
      </w:r>
      <w:proofErr w:type="spellEnd"/>
      <w:r w:rsidRPr="00E631DA">
        <w:rPr>
          <w:rFonts w:asciiTheme="majorHAnsi" w:hAnsiTheme="majorHAnsi"/>
          <w:sz w:val="24"/>
          <w:szCs w:val="24"/>
        </w:rPr>
        <w:t xml:space="preserve"> </w:t>
      </w:r>
      <w:proofErr w:type="spellStart"/>
      <w:r w:rsidRPr="00E631DA">
        <w:rPr>
          <w:rFonts w:asciiTheme="majorHAnsi" w:hAnsiTheme="majorHAnsi"/>
          <w:sz w:val="24"/>
          <w:szCs w:val="24"/>
        </w:rPr>
        <w:t>барања</w:t>
      </w:r>
      <w:proofErr w:type="spellEnd"/>
      <w:r w:rsidRPr="00E631DA">
        <w:rPr>
          <w:rFonts w:asciiTheme="majorHAnsi" w:hAnsiTheme="majorHAnsi"/>
          <w:sz w:val="24"/>
          <w:szCs w:val="24"/>
        </w:rPr>
        <w:t xml:space="preserve"> </w:t>
      </w:r>
      <w:proofErr w:type="spellStart"/>
      <w:r w:rsidRPr="00E631DA">
        <w:rPr>
          <w:rFonts w:asciiTheme="majorHAnsi" w:hAnsiTheme="majorHAnsi"/>
          <w:sz w:val="24"/>
          <w:szCs w:val="24"/>
        </w:rPr>
        <w:t>или</w:t>
      </w:r>
      <w:proofErr w:type="spellEnd"/>
      <w:r w:rsidRPr="00E631DA">
        <w:rPr>
          <w:rFonts w:asciiTheme="majorHAnsi" w:hAnsiTheme="majorHAnsi"/>
          <w:sz w:val="24"/>
          <w:szCs w:val="24"/>
        </w:rPr>
        <w:t xml:space="preserve"> </w:t>
      </w:r>
      <w:proofErr w:type="spellStart"/>
      <w:r w:rsidRPr="00E631DA">
        <w:rPr>
          <w:rFonts w:asciiTheme="majorHAnsi" w:hAnsiTheme="majorHAnsi"/>
          <w:sz w:val="24"/>
          <w:szCs w:val="24"/>
        </w:rPr>
        <w:t>барањата</w:t>
      </w:r>
      <w:proofErr w:type="spellEnd"/>
      <w:r w:rsidRPr="00E631DA">
        <w:rPr>
          <w:rFonts w:asciiTheme="majorHAnsi" w:hAnsiTheme="majorHAnsi"/>
          <w:sz w:val="24"/>
          <w:szCs w:val="24"/>
        </w:rPr>
        <w:t xml:space="preserve"> за </w:t>
      </w:r>
      <w:proofErr w:type="spellStart"/>
      <w:r w:rsidRPr="00E631DA">
        <w:rPr>
          <w:rFonts w:asciiTheme="majorHAnsi" w:hAnsiTheme="majorHAnsi"/>
          <w:sz w:val="24"/>
          <w:szCs w:val="24"/>
        </w:rPr>
        <w:t>расположливост</w:t>
      </w:r>
      <w:proofErr w:type="spellEnd"/>
      <w:r w:rsidRPr="00E631DA">
        <w:rPr>
          <w:rFonts w:asciiTheme="majorHAnsi" w:hAnsiTheme="majorHAnsi"/>
          <w:sz w:val="24"/>
          <w:szCs w:val="24"/>
        </w:rPr>
        <w:t xml:space="preserve"> на </w:t>
      </w:r>
      <w:proofErr w:type="spellStart"/>
      <w:r w:rsidRPr="00E631DA">
        <w:rPr>
          <w:rFonts w:asciiTheme="majorHAnsi" w:hAnsiTheme="majorHAnsi"/>
          <w:sz w:val="24"/>
          <w:szCs w:val="24"/>
        </w:rPr>
        <w:t>опремата</w:t>
      </w:r>
      <w:proofErr w:type="spellEnd"/>
      <w:r w:rsidRPr="00E631DA">
        <w:rPr>
          <w:rFonts w:asciiTheme="majorHAnsi" w:hAnsiTheme="majorHAnsi"/>
          <w:sz w:val="24"/>
          <w:szCs w:val="24"/>
        </w:rPr>
        <w:t xml:space="preserve">; </w:t>
      </w:r>
    </w:p>
    <w:p w:rsidR="007074E4" w:rsidRPr="00E631DA" w:rsidRDefault="007074E4" w:rsidP="00E631DA">
      <w:pPr>
        <w:pStyle w:val="ListParagraph"/>
        <w:numPr>
          <w:ilvl w:val="0"/>
          <w:numId w:val="31"/>
        </w:numPr>
        <w:tabs>
          <w:tab w:val="left" w:pos="340"/>
        </w:tabs>
        <w:suppressAutoHyphens w:val="0"/>
        <w:overflowPunct/>
        <w:autoSpaceDE/>
        <w:ind w:left="822"/>
        <w:contextualSpacing w:val="0"/>
        <w:jc w:val="both"/>
        <w:rPr>
          <w:rFonts w:asciiTheme="majorHAnsi" w:hAnsiTheme="majorHAnsi"/>
          <w:sz w:val="24"/>
          <w:szCs w:val="24"/>
        </w:rPr>
      </w:pPr>
      <w:r w:rsidRPr="00E631DA">
        <w:rPr>
          <w:rFonts w:asciiTheme="majorHAnsi" w:hAnsiTheme="majorHAnsi"/>
          <w:sz w:val="24"/>
          <w:szCs w:val="24"/>
        </w:rPr>
        <w:t xml:space="preserve">Во </w:t>
      </w:r>
      <w:proofErr w:type="spellStart"/>
      <w:r w:rsidRPr="00E631DA">
        <w:rPr>
          <w:rFonts w:asciiTheme="majorHAnsi" w:hAnsiTheme="majorHAnsi"/>
          <w:sz w:val="24"/>
          <w:szCs w:val="24"/>
        </w:rPr>
        <w:t>случај</w:t>
      </w:r>
      <w:proofErr w:type="spellEnd"/>
      <w:r w:rsidRPr="00E631DA">
        <w:rPr>
          <w:rFonts w:asciiTheme="majorHAnsi" w:hAnsiTheme="majorHAnsi"/>
          <w:sz w:val="24"/>
          <w:szCs w:val="24"/>
        </w:rPr>
        <w:t xml:space="preserve"> на </w:t>
      </w:r>
      <w:proofErr w:type="spellStart"/>
      <w:r w:rsidRPr="00E631DA">
        <w:rPr>
          <w:rFonts w:asciiTheme="majorHAnsi" w:hAnsiTheme="majorHAnsi"/>
          <w:sz w:val="24"/>
          <w:szCs w:val="24"/>
        </w:rPr>
        <w:t>модернизација</w:t>
      </w:r>
      <w:proofErr w:type="spellEnd"/>
      <w:r w:rsidRPr="00E631DA">
        <w:rPr>
          <w:rFonts w:asciiTheme="majorHAnsi" w:hAnsiTheme="majorHAnsi"/>
          <w:sz w:val="24"/>
          <w:szCs w:val="24"/>
        </w:rPr>
        <w:t xml:space="preserve"> на </w:t>
      </w:r>
      <w:proofErr w:type="spellStart"/>
      <w:r w:rsidRPr="00E631DA">
        <w:rPr>
          <w:rFonts w:asciiTheme="majorHAnsi" w:hAnsiTheme="majorHAnsi"/>
          <w:sz w:val="24"/>
          <w:szCs w:val="24"/>
        </w:rPr>
        <w:t>опремата</w:t>
      </w:r>
      <w:proofErr w:type="spellEnd"/>
      <w:r w:rsidRPr="00E631DA">
        <w:rPr>
          <w:rFonts w:asciiTheme="majorHAnsi" w:hAnsiTheme="majorHAnsi"/>
          <w:sz w:val="24"/>
          <w:szCs w:val="24"/>
        </w:rPr>
        <w:t xml:space="preserve"> за </w:t>
      </w:r>
      <w:proofErr w:type="spellStart"/>
      <w:r w:rsidRPr="00E631DA">
        <w:rPr>
          <w:rFonts w:asciiTheme="majorHAnsi" w:hAnsiTheme="majorHAnsi"/>
          <w:sz w:val="24"/>
          <w:szCs w:val="24"/>
        </w:rPr>
        <w:t>активирање</w:t>
      </w:r>
      <w:proofErr w:type="spellEnd"/>
      <w:r w:rsidRPr="00E631DA">
        <w:rPr>
          <w:rFonts w:asciiTheme="majorHAnsi" w:hAnsiTheme="majorHAnsi"/>
          <w:sz w:val="24"/>
          <w:szCs w:val="24"/>
        </w:rPr>
        <w:t xml:space="preserve"> на FCR</w:t>
      </w:r>
      <w:r w:rsidRPr="00E631DA">
        <w:rPr>
          <w:rFonts w:asciiTheme="majorHAnsi" w:hAnsiTheme="majorHAnsi"/>
          <w:iCs/>
          <w:sz w:val="24"/>
          <w:szCs w:val="24"/>
        </w:rPr>
        <w:t xml:space="preserve">, </w:t>
      </w:r>
      <w:proofErr w:type="spellStart"/>
      <w:r w:rsidRPr="00E631DA">
        <w:rPr>
          <w:rFonts w:asciiTheme="majorHAnsi" w:hAnsiTheme="majorHAnsi"/>
          <w:iCs/>
          <w:sz w:val="24"/>
          <w:szCs w:val="24"/>
        </w:rPr>
        <w:t>aFRR</w:t>
      </w:r>
      <w:proofErr w:type="spellEnd"/>
      <w:r w:rsidRPr="00E631DA">
        <w:rPr>
          <w:rFonts w:asciiTheme="majorHAnsi" w:hAnsiTheme="majorHAnsi"/>
          <w:iCs/>
          <w:sz w:val="24"/>
          <w:szCs w:val="24"/>
        </w:rPr>
        <w:t xml:space="preserve">, </w:t>
      </w:r>
      <w:proofErr w:type="spellStart"/>
      <w:r w:rsidRPr="00E631DA">
        <w:rPr>
          <w:rFonts w:asciiTheme="majorHAnsi" w:hAnsiTheme="majorHAnsi"/>
          <w:iCs/>
          <w:sz w:val="24"/>
          <w:szCs w:val="24"/>
        </w:rPr>
        <w:t>или</w:t>
      </w:r>
      <w:proofErr w:type="spellEnd"/>
      <w:r w:rsidRPr="00E631DA">
        <w:rPr>
          <w:rFonts w:asciiTheme="majorHAnsi" w:hAnsiTheme="majorHAnsi"/>
          <w:iCs/>
          <w:sz w:val="24"/>
          <w:szCs w:val="24"/>
        </w:rPr>
        <w:t xml:space="preserve"> </w:t>
      </w:r>
      <w:proofErr w:type="spellStart"/>
      <w:r w:rsidRPr="00E631DA">
        <w:rPr>
          <w:rFonts w:asciiTheme="majorHAnsi" w:hAnsiTheme="majorHAnsi"/>
          <w:iCs/>
          <w:sz w:val="24"/>
          <w:szCs w:val="24"/>
        </w:rPr>
        <w:t>mFRR</w:t>
      </w:r>
      <w:proofErr w:type="spellEnd"/>
    </w:p>
    <w:p w:rsidR="007074E4" w:rsidRPr="00E631DA" w:rsidRDefault="007074E4" w:rsidP="00E631DA">
      <w:pPr>
        <w:pStyle w:val="ListParagraph"/>
        <w:numPr>
          <w:ilvl w:val="0"/>
          <w:numId w:val="31"/>
        </w:numPr>
        <w:tabs>
          <w:tab w:val="left" w:pos="340"/>
        </w:tabs>
        <w:suppressAutoHyphens w:val="0"/>
        <w:overflowPunct/>
        <w:autoSpaceDE/>
        <w:ind w:left="822"/>
        <w:contextualSpacing w:val="0"/>
        <w:jc w:val="both"/>
        <w:rPr>
          <w:rFonts w:asciiTheme="majorHAnsi" w:hAnsiTheme="majorHAnsi"/>
          <w:sz w:val="24"/>
          <w:szCs w:val="24"/>
        </w:rPr>
      </w:pPr>
      <w:r w:rsidRPr="00E631DA">
        <w:rPr>
          <w:rFonts w:asciiTheme="majorHAnsi" w:hAnsiTheme="majorHAnsi"/>
          <w:iCs/>
          <w:sz w:val="24"/>
          <w:szCs w:val="24"/>
        </w:rPr>
        <w:t xml:space="preserve">Во </w:t>
      </w:r>
      <w:proofErr w:type="spellStart"/>
      <w:r w:rsidRPr="00E631DA">
        <w:rPr>
          <w:rFonts w:asciiTheme="majorHAnsi" w:hAnsiTheme="majorHAnsi"/>
          <w:iCs/>
          <w:sz w:val="24"/>
          <w:szCs w:val="24"/>
        </w:rPr>
        <w:t>случај</w:t>
      </w:r>
      <w:proofErr w:type="spellEnd"/>
      <w:r w:rsidRPr="00E631DA">
        <w:rPr>
          <w:rFonts w:asciiTheme="majorHAnsi" w:hAnsiTheme="majorHAnsi"/>
          <w:iCs/>
          <w:sz w:val="24"/>
          <w:szCs w:val="24"/>
        </w:rPr>
        <w:t xml:space="preserve"> </w:t>
      </w:r>
      <w:proofErr w:type="spellStart"/>
      <w:r w:rsidRPr="00E631DA">
        <w:rPr>
          <w:rFonts w:asciiTheme="majorHAnsi" w:hAnsiTheme="majorHAnsi"/>
          <w:iCs/>
          <w:sz w:val="24"/>
          <w:szCs w:val="24"/>
        </w:rPr>
        <w:t>ако</w:t>
      </w:r>
      <w:proofErr w:type="spellEnd"/>
      <w:r w:rsidRPr="00E631DA">
        <w:rPr>
          <w:rFonts w:asciiTheme="majorHAnsi" w:hAnsiTheme="majorHAnsi"/>
          <w:iCs/>
          <w:sz w:val="24"/>
          <w:szCs w:val="24"/>
        </w:rPr>
        <w:t xml:space="preserve"> </w:t>
      </w:r>
      <w:proofErr w:type="spellStart"/>
      <w:r w:rsidRPr="00E631DA">
        <w:rPr>
          <w:rFonts w:asciiTheme="majorHAnsi" w:hAnsiTheme="majorHAnsi"/>
          <w:iCs/>
          <w:sz w:val="24"/>
          <w:szCs w:val="24"/>
        </w:rPr>
        <w:t>не</w:t>
      </w:r>
      <w:proofErr w:type="spellEnd"/>
      <w:r w:rsidRPr="00E631DA">
        <w:rPr>
          <w:rFonts w:asciiTheme="majorHAnsi" w:hAnsiTheme="majorHAnsi"/>
          <w:iCs/>
          <w:sz w:val="24"/>
          <w:szCs w:val="24"/>
        </w:rPr>
        <w:t xml:space="preserve"> </w:t>
      </w:r>
      <w:proofErr w:type="spellStart"/>
      <w:r w:rsidRPr="00E631DA">
        <w:rPr>
          <w:rFonts w:asciiTheme="majorHAnsi" w:hAnsiTheme="majorHAnsi"/>
          <w:iCs/>
          <w:sz w:val="24"/>
          <w:szCs w:val="24"/>
        </w:rPr>
        <w:t>ги</w:t>
      </w:r>
      <w:proofErr w:type="spellEnd"/>
      <w:r w:rsidRPr="00E631DA">
        <w:rPr>
          <w:rFonts w:asciiTheme="majorHAnsi" w:hAnsiTheme="majorHAnsi"/>
          <w:iCs/>
          <w:sz w:val="24"/>
          <w:szCs w:val="24"/>
        </w:rPr>
        <w:t xml:space="preserve"> </w:t>
      </w:r>
      <w:proofErr w:type="spellStart"/>
      <w:r w:rsidRPr="00E631DA">
        <w:rPr>
          <w:rFonts w:asciiTheme="majorHAnsi" w:hAnsiTheme="majorHAnsi"/>
          <w:iCs/>
          <w:sz w:val="24"/>
          <w:szCs w:val="24"/>
        </w:rPr>
        <w:t>исполнува</w:t>
      </w:r>
      <w:proofErr w:type="spellEnd"/>
      <w:r w:rsidRPr="00E631DA">
        <w:rPr>
          <w:rFonts w:asciiTheme="majorHAnsi" w:hAnsiTheme="majorHAnsi"/>
          <w:iCs/>
          <w:sz w:val="24"/>
          <w:szCs w:val="24"/>
        </w:rPr>
        <w:t xml:space="preserve"> </w:t>
      </w:r>
      <w:proofErr w:type="spellStart"/>
      <w:r w:rsidRPr="00E631DA">
        <w:rPr>
          <w:rFonts w:asciiTheme="majorHAnsi" w:hAnsiTheme="majorHAnsi"/>
          <w:iCs/>
          <w:sz w:val="24"/>
          <w:szCs w:val="24"/>
        </w:rPr>
        <w:t>потребните</w:t>
      </w:r>
      <w:proofErr w:type="spellEnd"/>
      <w:r w:rsidRPr="00E631DA">
        <w:rPr>
          <w:rFonts w:asciiTheme="majorHAnsi" w:hAnsiTheme="majorHAnsi"/>
          <w:iCs/>
          <w:sz w:val="24"/>
          <w:szCs w:val="24"/>
        </w:rPr>
        <w:t xml:space="preserve"> </w:t>
      </w:r>
      <w:proofErr w:type="spellStart"/>
      <w:r w:rsidRPr="00E631DA">
        <w:rPr>
          <w:rFonts w:asciiTheme="majorHAnsi" w:hAnsiTheme="majorHAnsi"/>
          <w:iCs/>
          <w:sz w:val="24"/>
          <w:szCs w:val="24"/>
        </w:rPr>
        <w:t>технички</w:t>
      </w:r>
      <w:proofErr w:type="spellEnd"/>
      <w:r w:rsidRPr="00E631DA">
        <w:rPr>
          <w:rFonts w:asciiTheme="majorHAnsi" w:hAnsiTheme="majorHAnsi"/>
          <w:iCs/>
          <w:sz w:val="24"/>
          <w:szCs w:val="24"/>
        </w:rPr>
        <w:t xml:space="preserve"> </w:t>
      </w:r>
      <w:proofErr w:type="spellStart"/>
      <w:r w:rsidRPr="00E631DA">
        <w:rPr>
          <w:rFonts w:asciiTheme="majorHAnsi" w:hAnsiTheme="majorHAnsi"/>
          <w:iCs/>
          <w:sz w:val="24"/>
          <w:szCs w:val="24"/>
        </w:rPr>
        <w:t>барања</w:t>
      </w:r>
      <w:proofErr w:type="spellEnd"/>
      <w:r w:rsidRPr="00E631DA">
        <w:rPr>
          <w:rFonts w:asciiTheme="majorHAnsi" w:hAnsiTheme="majorHAnsi"/>
          <w:iCs/>
          <w:sz w:val="24"/>
          <w:szCs w:val="24"/>
        </w:rPr>
        <w:t xml:space="preserve"> од </w:t>
      </w:r>
      <w:r w:rsidRPr="00E631DA">
        <w:rPr>
          <w:rFonts w:asciiTheme="majorHAnsi" w:hAnsiTheme="majorHAnsi"/>
          <w:iCs/>
          <w:sz w:val="24"/>
          <w:szCs w:val="24"/>
        </w:rPr>
        <w:fldChar w:fldCharType="begin"/>
      </w:r>
      <w:r w:rsidRPr="00E631DA">
        <w:rPr>
          <w:rFonts w:asciiTheme="majorHAnsi" w:hAnsiTheme="majorHAnsi"/>
          <w:iCs/>
          <w:sz w:val="24"/>
          <w:szCs w:val="24"/>
        </w:rPr>
        <w:instrText xml:space="preserve"> REF _Ref6956087 \h  \* MERGEFORMAT </w:instrText>
      </w:r>
      <w:r w:rsidRPr="00E631DA">
        <w:rPr>
          <w:rFonts w:asciiTheme="majorHAnsi" w:hAnsiTheme="majorHAnsi"/>
          <w:iCs/>
          <w:sz w:val="24"/>
          <w:szCs w:val="24"/>
        </w:rPr>
      </w:r>
      <w:r w:rsidRPr="00E631DA">
        <w:rPr>
          <w:rFonts w:asciiTheme="majorHAnsi" w:hAnsiTheme="majorHAnsi"/>
          <w:iCs/>
          <w:sz w:val="24"/>
          <w:szCs w:val="24"/>
        </w:rPr>
        <w:fldChar w:fldCharType="separate"/>
      </w:r>
      <w:proofErr w:type="spellStart"/>
      <w:r w:rsidRPr="00E631DA">
        <w:rPr>
          <w:rFonts w:asciiTheme="majorHAnsi" w:hAnsiTheme="majorHAnsi"/>
          <w:sz w:val="24"/>
          <w:szCs w:val="24"/>
        </w:rPr>
        <w:t>Член</w:t>
      </w:r>
      <w:proofErr w:type="spellEnd"/>
      <w:r w:rsidRPr="00E631DA">
        <w:rPr>
          <w:rFonts w:asciiTheme="majorHAnsi" w:hAnsiTheme="majorHAnsi"/>
          <w:sz w:val="24"/>
          <w:szCs w:val="24"/>
        </w:rPr>
        <w:t xml:space="preserve"> </w:t>
      </w:r>
      <w:r w:rsidRPr="00E631DA">
        <w:rPr>
          <w:rFonts w:asciiTheme="majorHAnsi" w:hAnsiTheme="majorHAnsi"/>
          <w:noProof/>
          <w:sz w:val="24"/>
          <w:szCs w:val="24"/>
        </w:rPr>
        <w:t>7</w:t>
      </w:r>
      <w:r w:rsidRPr="00E631DA">
        <w:rPr>
          <w:rFonts w:asciiTheme="majorHAnsi" w:hAnsiTheme="majorHAnsi"/>
          <w:iCs/>
          <w:sz w:val="24"/>
          <w:szCs w:val="24"/>
        </w:rPr>
        <w:fldChar w:fldCharType="end"/>
      </w:r>
      <w:r w:rsidRPr="00E631DA">
        <w:rPr>
          <w:rFonts w:asciiTheme="majorHAnsi" w:hAnsiTheme="majorHAnsi"/>
          <w:iCs/>
          <w:sz w:val="24"/>
          <w:szCs w:val="24"/>
          <w:lang w:val="mk-MK"/>
        </w:rPr>
        <w:t xml:space="preserve"> од Правилата за балансирање на ЕЕС</w:t>
      </w:r>
      <w:r w:rsidRPr="00E631DA">
        <w:rPr>
          <w:rFonts w:asciiTheme="majorHAnsi" w:hAnsiTheme="majorHAnsi"/>
          <w:sz w:val="24"/>
          <w:szCs w:val="24"/>
        </w:rPr>
        <w:t>.</w:t>
      </w:r>
    </w:p>
    <w:p w:rsidR="003B3ED3" w:rsidRPr="00E631DA" w:rsidRDefault="003B3ED3" w:rsidP="00B3533F">
      <w:pPr>
        <w:pStyle w:val="Clen"/>
        <w:rPr>
          <w:rFonts w:asciiTheme="majorHAnsi" w:hAnsiTheme="majorHAnsi"/>
          <w:sz w:val="24"/>
          <w:szCs w:val="24"/>
        </w:rPr>
      </w:pPr>
    </w:p>
    <w:p w:rsidR="00B3533F" w:rsidRPr="00E631DA" w:rsidRDefault="00B3533F" w:rsidP="00B3533F">
      <w:pPr>
        <w:pStyle w:val="Clen"/>
        <w:rPr>
          <w:rFonts w:asciiTheme="majorHAnsi" w:hAnsiTheme="majorHAnsi"/>
          <w:sz w:val="24"/>
          <w:szCs w:val="24"/>
          <w:lang w:val="mk-MK"/>
        </w:rPr>
      </w:pPr>
      <w:proofErr w:type="spellStart"/>
      <w:r w:rsidRPr="00E631DA">
        <w:rPr>
          <w:rFonts w:asciiTheme="majorHAnsi" w:hAnsiTheme="majorHAnsi"/>
          <w:sz w:val="24"/>
          <w:szCs w:val="24"/>
        </w:rPr>
        <w:t>Член</w:t>
      </w:r>
      <w:proofErr w:type="spellEnd"/>
      <w:r w:rsidRPr="00E631DA">
        <w:rPr>
          <w:rFonts w:asciiTheme="majorHAnsi" w:hAnsiTheme="majorHAnsi"/>
          <w:sz w:val="24"/>
          <w:szCs w:val="24"/>
        </w:rPr>
        <w:t xml:space="preserve"> </w:t>
      </w:r>
      <w:r w:rsidR="003B3ED3" w:rsidRPr="00E631DA">
        <w:rPr>
          <w:rFonts w:asciiTheme="majorHAnsi" w:hAnsiTheme="majorHAnsi"/>
          <w:sz w:val="24"/>
          <w:szCs w:val="24"/>
        </w:rPr>
        <w:t>7</w:t>
      </w:r>
    </w:p>
    <w:p w:rsidR="002C25FD" w:rsidRPr="00E631DA" w:rsidRDefault="002C25FD" w:rsidP="00E631DA">
      <w:pPr>
        <w:pStyle w:val="Stav"/>
        <w:numPr>
          <w:ilvl w:val="0"/>
          <w:numId w:val="0"/>
        </w:numPr>
        <w:rPr>
          <w:rFonts w:asciiTheme="majorHAnsi" w:hAnsiTheme="majorHAnsi"/>
          <w:sz w:val="24"/>
          <w:szCs w:val="24"/>
        </w:rPr>
      </w:pPr>
      <w:r w:rsidRPr="00E631DA">
        <w:rPr>
          <w:rFonts w:asciiTheme="majorHAnsi" w:hAnsiTheme="majorHAnsi"/>
          <w:sz w:val="24"/>
          <w:szCs w:val="24"/>
        </w:rPr>
        <w:t>Давателот на услуги</w:t>
      </w:r>
      <w:r w:rsidR="002A4A74" w:rsidRPr="00E631DA">
        <w:rPr>
          <w:rFonts w:asciiTheme="majorHAnsi" w:hAnsiTheme="majorHAnsi"/>
          <w:sz w:val="24"/>
          <w:szCs w:val="24"/>
        </w:rPr>
        <w:t xml:space="preserve"> за балансирање</w:t>
      </w:r>
      <w:r w:rsidRPr="00E631DA">
        <w:rPr>
          <w:rFonts w:asciiTheme="majorHAnsi" w:hAnsiTheme="majorHAnsi"/>
          <w:sz w:val="24"/>
          <w:szCs w:val="24"/>
        </w:rPr>
        <w:t xml:space="preserve"> со потпишување на овој Договор се квалификува како учесник </w:t>
      </w:r>
      <w:r w:rsidR="00DB7895" w:rsidRPr="00E631DA">
        <w:rPr>
          <w:rFonts w:asciiTheme="majorHAnsi" w:hAnsiTheme="majorHAnsi"/>
          <w:sz w:val="24"/>
          <w:szCs w:val="24"/>
        </w:rPr>
        <w:t>на пазарот на балансна енергија и</w:t>
      </w:r>
      <w:r w:rsidRPr="00E631DA">
        <w:rPr>
          <w:rFonts w:asciiTheme="majorHAnsi" w:hAnsiTheme="majorHAnsi"/>
          <w:sz w:val="24"/>
          <w:szCs w:val="24"/>
        </w:rPr>
        <w:t xml:space="preserve"> им</w:t>
      </w:r>
      <w:r w:rsidR="007074E4" w:rsidRPr="00E631DA">
        <w:rPr>
          <w:rFonts w:asciiTheme="majorHAnsi" w:hAnsiTheme="majorHAnsi"/>
          <w:sz w:val="24"/>
          <w:szCs w:val="24"/>
        </w:rPr>
        <w:t>а</w:t>
      </w:r>
      <w:r w:rsidR="00005962" w:rsidRPr="00E631DA">
        <w:rPr>
          <w:rFonts w:asciiTheme="majorHAnsi" w:hAnsiTheme="majorHAnsi"/>
          <w:sz w:val="24"/>
          <w:szCs w:val="24"/>
        </w:rPr>
        <w:t xml:space="preserve"> пра</w:t>
      </w:r>
      <w:r w:rsidRPr="00E631DA">
        <w:rPr>
          <w:rFonts w:asciiTheme="majorHAnsi" w:hAnsiTheme="majorHAnsi"/>
          <w:sz w:val="24"/>
          <w:szCs w:val="24"/>
        </w:rPr>
        <w:t>во да ги дава следните балансни услуги</w:t>
      </w:r>
      <w:r w:rsidRPr="00E631DA">
        <w:rPr>
          <w:rFonts w:asciiTheme="majorHAnsi" w:hAnsiTheme="majorHAnsi"/>
          <w:sz w:val="24"/>
          <w:szCs w:val="24"/>
          <w:lang w:val="en-US"/>
        </w:rPr>
        <w:t xml:space="preserve">: </w:t>
      </w:r>
      <w:r w:rsidRPr="00E631DA">
        <w:rPr>
          <w:rFonts w:asciiTheme="majorHAnsi" w:hAnsiTheme="majorHAnsi"/>
          <w:sz w:val="24"/>
          <w:szCs w:val="24"/>
        </w:rPr>
        <w:t xml:space="preserve">  </w:t>
      </w:r>
    </w:p>
    <w:p w:rsidR="002C25FD" w:rsidRPr="00E631DA" w:rsidRDefault="002C25FD" w:rsidP="00E631DA">
      <w:pPr>
        <w:pStyle w:val="Stav"/>
        <w:numPr>
          <w:ilvl w:val="0"/>
          <w:numId w:val="0"/>
        </w:numPr>
        <w:ind w:left="794" w:hanging="794"/>
        <w:jc w:val="center"/>
        <w:rPr>
          <w:rFonts w:asciiTheme="majorHAnsi" w:hAnsiTheme="majorHAnsi"/>
          <w:sz w:val="24"/>
          <w:szCs w:val="24"/>
          <w:lang w:val="en-US" w:eastAsia="ar-SA"/>
        </w:rPr>
      </w:pPr>
    </w:p>
    <w:tbl>
      <w:tblPr>
        <w:tblStyle w:val="MediumGrid3-Accent1"/>
        <w:tblW w:w="0" w:type="auto"/>
        <w:jc w:val="center"/>
        <w:tblLook w:val="04A0" w:firstRow="1" w:lastRow="0" w:firstColumn="1" w:lastColumn="0" w:noHBand="0" w:noVBand="1"/>
      </w:tblPr>
      <w:tblGrid>
        <w:gridCol w:w="1757"/>
        <w:gridCol w:w="1497"/>
        <w:gridCol w:w="1552"/>
        <w:gridCol w:w="1587"/>
        <w:gridCol w:w="1343"/>
        <w:gridCol w:w="1481"/>
        <w:gridCol w:w="1449"/>
      </w:tblGrid>
      <w:tr w:rsidR="00B40AD0" w:rsidRPr="00E631DA" w:rsidTr="00580B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7" w:type="dxa"/>
          </w:tcPr>
          <w:p w:rsidR="00B40AD0" w:rsidRPr="00E631DA" w:rsidRDefault="002A4A74" w:rsidP="002A4A74">
            <w:pPr>
              <w:pStyle w:val="Stav"/>
              <w:numPr>
                <w:ilvl w:val="0"/>
                <w:numId w:val="0"/>
              </w:numPr>
              <w:jc w:val="center"/>
              <w:rPr>
                <w:rFonts w:asciiTheme="majorHAnsi" w:hAnsiTheme="majorHAnsi"/>
                <w:i/>
                <w:sz w:val="24"/>
                <w:szCs w:val="24"/>
                <w:lang w:val="en-US" w:eastAsia="ar-SA"/>
              </w:rPr>
            </w:pPr>
            <w:r w:rsidRPr="00E631DA">
              <w:rPr>
                <w:rFonts w:asciiTheme="majorHAnsi" w:hAnsiTheme="majorHAnsi"/>
                <w:i/>
                <w:sz w:val="24"/>
                <w:szCs w:val="24"/>
                <w:lang w:eastAsia="ar-SA"/>
              </w:rPr>
              <w:t>Балансни единици</w:t>
            </w:r>
          </w:p>
        </w:tc>
        <w:tc>
          <w:tcPr>
            <w:tcW w:w="1497" w:type="dxa"/>
          </w:tcPr>
          <w:p w:rsidR="00B40AD0" w:rsidRPr="00E631DA" w:rsidRDefault="00B40AD0" w:rsidP="002A4A74">
            <w:pPr>
              <w:pStyle w:val="Stav"/>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4"/>
                <w:szCs w:val="24"/>
                <w:lang w:val="en-US" w:eastAsia="ar-SA"/>
              </w:rPr>
            </w:pPr>
            <w:r w:rsidRPr="00E631DA">
              <w:rPr>
                <w:rFonts w:asciiTheme="majorHAnsi" w:hAnsiTheme="majorHAnsi"/>
                <w:i/>
                <w:sz w:val="24"/>
                <w:szCs w:val="24"/>
                <w:lang w:val="en-US" w:eastAsia="ar-SA"/>
              </w:rPr>
              <w:t>FCR</w:t>
            </w:r>
          </w:p>
        </w:tc>
        <w:tc>
          <w:tcPr>
            <w:tcW w:w="1552" w:type="dxa"/>
          </w:tcPr>
          <w:p w:rsidR="00B40AD0" w:rsidRPr="00E631DA" w:rsidRDefault="00B40AD0" w:rsidP="002A4A74">
            <w:pPr>
              <w:pStyle w:val="Stav"/>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4"/>
                <w:szCs w:val="24"/>
                <w:lang w:val="en-US" w:eastAsia="ar-SA"/>
              </w:rPr>
            </w:pPr>
            <w:proofErr w:type="spellStart"/>
            <w:r w:rsidRPr="00E631DA">
              <w:rPr>
                <w:rFonts w:asciiTheme="majorHAnsi" w:hAnsiTheme="majorHAnsi"/>
                <w:i/>
                <w:sz w:val="24"/>
                <w:szCs w:val="24"/>
                <w:lang w:val="en-US" w:eastAsia="ar-SA"/>
              </w:rPr>
              <w:t>aFRR</w:t>
            </w:r>
            <w:proofErr w:type="spellEnd"/>
          </w:p>
        </w:tc>
        <w:tc>
          <w:tcPr>
            <w:tcW w:w="1587" w:type="dxa"/>
          </w:tcPr>
          <w:p w:rsidR="00B40AD0" w:rsidRPr="00E631DA" w:rsidRDefault="00B40AD0" w:rsidP="002A4A74">
            <w:pPr>
              <w:pStyle w:val="Stav"/>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4"/>
                <w:szCs w:val="24"/>
                <w:lang w:val="en-US" w:eastAsia="ar-SA"/>
              </w:rPr>
            </w:pPr>
            <w:proofErr w:type="spellStart"/>
            <w:r w:rsidRPr="00E631DA">
              <w:rPr>
                <w:rFonts w:asciiTheme="majorHAnsi" w:hAnsiTheme="majorHAnsi"/>
                <w:i/>
                <w:sz w:val="24"/>
                <w:szCs w:val="24"/>
                <w:lang w:val="en-US" w:eastAsia="ar-SA"/>
              </w:rPr>
              <w:t>mFRR</w:t>
            </w:r>
            <w:proofErr w:type="spellEnd"/>
          </w:p>
        </w:tc>
        <w:tc>
          <w:tcPr>
            <w:tcW w:w="1343" w:type="dxa"/>
          </w:tcPr>
          <w:p w:rsidR="00B40AD0" w:rsidRPr="00E631DA" w:rsidRDefault="00B40AD0" w:rsidP="002A4A74">
            <w:pPr>
              <w:pStyle w:val="Stav"/>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4"/>
                <w:szCs w:val="24"/>
                <w:lang w:val="en-US" w:eastAsia="ar-SA"/>
              </w:rPr>
            </w:pPr>
            <w:r w:rsidRPr="00E631DA">
              <w:rPr>
                <w:rFonts w:asciiTheme="majorHAnsi" w:hAnsiTheme="majorHAnsi"/>
                <w:i/>
                <w:sz w:val="24"/>
                <w:szCs w:val="24"/>
                <w:lang w:val="en-US" w:eastAsia="ar-SA"/>
              </w:rPr>
              <w:t>RR</w:t>
            </w:r>
          </w:p>
        </w:tc>
        <w:tc>
          <w:tcPr>
            <w:tcW w:w="1343" w:type="dxa"/>
          </w:tcPr>
          <w:p w:rsidR="00B40AD0" w:rsidRPr="00E631DA" w:rsidRDefault="00B40AD0" w:rsidP="002A4A74">
            <w:pPr>
              <w:pStyle w:val="Stav"/>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4"/>
                <w:szCs w:val="24"/>
                <w:lang w:eastAsia="ar-SA"/>
              </w:rPr>
            </w:pPr>
            <w:r w:rsidRPr="00E631DA">
              <w:rPr>
                <w:rFonts w:asciiTheme="majorHAnsi" w:hAnsiTheme="majorHAnsi"/>
                <w:i/>
                <w:sz w:val="24"/>
                <w:szCs w:val="24"/>
                <w:lang w:eastAsia="ar-SA"/>
              </w:rPr>
              <w:t>Регулација на напон</w:t>
            </w:r>
          </w:p>
        </w:tc>
        <w:tc>
          <w:tcPr>
            <w:tcW w:w="1449" w:type="dxa"/>
          </w:tcPr>
          <w:p w:rsidR="00B40AD0" w:rsidRPr="00E631DA" w:rsidRDefault="00B40AD0" w:rsidP="002A4A74">
            <w:pPr>
              <w:pStyle w:val="Stav"/>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
                <w:sz w:val="24"/>
                <w:szCs w:val="24"/>
                <w:lang w:val="en-US" w:eastAsia="ar-SA"/>
              </w:rPr>
            </w:pPr>
            <w:r w:rsidRPr="00E631DA">
              <w:rPr>
                <w:rFonts w:asciiTheme="majorHAnsi" w:hAnsiTheme="majorHAnsi"/>
                <w:i/>
                <w:sz w:val="24"/>
                <w:szCs w:val="24"/>
                <w:lang w:val="en-US" w:eastAsia="ar-SA"/>
              </w:rPr>
              <w:t>Black start</w:t>
            </w:r>
          </w:p>
        </w:tc>
      </w:tr>
      <w:tr w:rsidR="00B40AD0" w:rsidRPr="00E631DA" w:rsidTr="00580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7" w:type="dxa"/>
          </w:tcPr>
          <w:p w:rsidR="00B40AD0" w:rsidRPr="00E631DA" w:rsidRDefault="00B40AD0" w:rsidP="002C25FD">
            <w:pPr>
              <w:pStyle w:val="Stav"/>
              <w:numPr>
                <w:ilvl w:val="0"/>
                <w:numId w:val="0"/>
              </w:numPr>
              <w:rPr>
                <w:rFonts w:asciiTheme="majorHAnsi" w:hAnsiTheme="majorHAnsi"/>
                <w:sz w:val="24"/>
                <w:szCs w:val="24"/>
                <w:lang w:val="en-US" w:eastAsia="ar-SA"/>
              </w:rPr>
            </w:pPr>
          </w:p>
        </w:tc>
        <w:tc>
          <w:tcPr>
            <w:tcW w:w="1497"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552"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587"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343"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343"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449"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r>
      <w:tr w:rsidR="00B40AD0" w:rsidRPr="00E631DA" w:rsidTr="00580B89">
        <w:trPr>
          <w:jc w:val="center"/>
        </w:trPr>
        <w:tc>
          <w:tcPr>
            <w:cnfStyle w:val="001000000000" w:firstRow="0" w:lastRow="0" w:firstColumn="1" w:lastColumn="0" w:oddVBand="0" w:evenVBand="0" w:oddHBand="0" w:evenHBand="0" w:firstRowFirstColumn="0" w:firstRowLastColumn="0" w:lastRowFirstColumn="0" w:lastRowLastColumn="0"/>
            <w:tcW w:w="1757" w:type="dxa"/>
          </w:tcPr>
          <w:p w:rsidR="00B40AD0" w:rsidRPr="00E631DA" w:rsidRDefault="00B40AD0" w:rsidP="002C25FD">
            <w:pPr>
              <w:pStyle w:val="Stav"/>
              <w:numPr>
                <w:ilvl w:val="0"/>
                <w:numId w:val="0"/>
              </w:numPr>
              <w:rPr>
                <w:rFonts w:asciiTheme="majorHAnsi" w:hAnsiTheme="majorHAnsi"/>
                <w:sz w:val="24"/>
                <w:szCs w:val="24"/>
                <w:lang w:val="en-US" w:eastAsia="ar-SA"/>
              </w:rPr>
            </w:pPr>
          </w:p>
        </w:tc>
        <w:tc>
          <w:tcPr>
            <w:tcW w:w="1497"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552"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587"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343"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343"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449"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r>
      <w:tr w:rsidR="00B40AD0" w:rsidRPr="00E631DA" w:rsidTr="00580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7" w:type="dxa"/>
          </w:tcPr>
          <w:p w:rsidR="00B40AD0" w:rsidRPr="00E631DA" w:rsidRDefault="00B40AD0" w:rsidP="002C25FD">
            <w:pPr>
              <w:pStyle w:val="Stav"/>
              <w:numPr>
                <w:ilvl w:val="0"/>
                <w:numId w:val="0"/>
              </w:numPr>
              <w:rPr>
                <w:rFonts w:asciiTheme="majorHAnsi" w:hAnsiTheme="majorHAnsi"/>
                <w:sz w:val="24"/>
                <w:szCs w:val="24"/>
                <w:lang w:val="en-US" w:eastAsia="ar-SA"/>
              </w:rPr>
            </w:pPr>
          </w:p>
        </w:tc>
        <w:tc>
          <w:tcPr>
            <w:tcW w:w="1497"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552"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587"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343"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343"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c>
          <w:tcPr>
            <w:tcW w:w="1449" w:type="dxa"/>
          </w:tcPr>
          <w:p w:rsidR="00B40AD0" w:rsidRPr="00E631DA" w:rsidRDefault="00B40AD0" w:rsidP="002C25FD">
            <w:pPr>
              <w:pStyle w:val="Stav"/>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lang w:val="en-US" w:eastAsia="ar-SA"/>
              </w:rPr>
            </w:pPr>
          </w:p>
        </w:tc>
      </w:tr>
      <w:tr w:rsidR="00B40AD0" w:rsidRPr="00E631DA" w:rsidTr="00580B89">
        <w:trPr>
          <w:jc w:val="center"/>
        </w:trPr>
        <w:tc>
          <w:tcPr>
            <w:cnfStyle w:val="001000000000" w:firstRow="0" w:lastRow="0" w:firstColumn="1" w:lastColumn="0" w:oddVBand="0" w:evenVBand="0" w:oddHBand="0" w:evenHBand="0" w:firstRowFirstColumn="0" w:firstRowLastColumn="0" w:lastRowFirstColumn="0" w:lastRowLastColumn="0"/>
            <w:tcW w:w="1757" w:type="dxa"/>
          </w:tcPr>
          <w:p w:rsidR="00B40AD0" w:rsidRPr="00E631DA" w:rsidRDefault="00B40AD0" w:rsidP="002C25FD">
            <w:pPr>
              <w:pStyle w:val="Stav"/>
              <w:numPr>
                <w:ilvl w:val="0"/>
                <w:numId w:val="0"/>
              </w:numPr>
              <w:rPr>
                <w:rFonts w:asciiTheme="majorHAnsi" w:hAnsiTheme="majorHAnsi"/>
                <w:sz w:val="24"/>
                <w:szCs w:val="24"/>
                <w:lang w:val="en-US" w:eastAsia="ar-SA"/>
              </w:rPr>
            </w:pPr>
          </w:p>
        </w:tc>
        <w:tc>
          <w:tcPr>
            <w:tcW w:w="1497"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552"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587"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343"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343"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c>
          <w:tcPr>
            <w:tcW w:w="1449" w:type="dxa"/>
          </w:tcPr>
          <w:p w:rsidR="00B40AD0" w:rsidRPr="00E631DA" w:rsidRDefault="00B40AD0" w:rsidP="002C25FD">
            <w:pPr>
              <w:pStyle w:val="Stav"/>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lang w:val="en-US" w:eastAsia="ar-SA"/>
              </w:rPr>
            </w:pPr>
          </w:p>
        </w:tc>
      </w:tr>
    </w:tbl>
    <w:p w:rsidR="00A032B0" w:rsidRPr="00E631DA" w:rsidRDefault="00862778" w:rsidP="002C25FD">
      <w:pPr>
        <w:pStyle w:val="Stav"/>
        <w:numPr>
          <w:ilvl w:val="0"/>
          <w:numId w:val="0"/>
        </w:numPr>
        <w:ind w:left="794" w:hanging="794"/>
        <w:rPr>
          <w:rFonts w:asciiTheme="majorHAnsi" w:hAnsiTheme="majorHAnsi"/>
          <w:sz w:val="24"/>
          <w:szCs w:val="24"/>
          <w:lang w:eastAsia="ar-SA"/>
        </w:rPr>
      </w:pPr>
      <w:r w:rsidRPr="00E631DA">
        <w:rPr>
          <w:rFonts w:asciiTheme="majorHAnsi" w:hAnsiTheme="majorHAnsi"/>
          <w:sz w:val="24"/>
          <w:szCs w:val="24"/>
          <w:lang w:val="en-US" w:eastAsia="ar-SA"/>
        </w:rPr>
        <w:tab/>
        <w:t xml:space="preserve">* </w:t>
      </w:r>
      <w:r w:rsidRPr="00E631DA">
        <w:rPr>
          <w:rFonts w:asciiTheme="majorHAnsi" w:hAnsiTheme="majorHAnsi"/>
          <w:sz w:val="24"/>
          <w:szCs w:val="24"/>
          <w:lang w:eastAsia="ar-SA"/>
        </w:rPr>
        <w:t>Оваа табела (</w:t>
      </w:r>
      <w:r w:rsidR="00547190" w:rsidRPr="00E631DA">
        <w:rPr>
          <w:rFonts w:asciiTheme="majorHAnsi" w:hAnsiTheme="majorHAnsi"/>
          <w:sz w:val="24"/>
          <w:szCs w:val="24"/>
          <w:lang w:eastAsia="ar-SA"/>
        </w:rPr>
        <w:t>Листа на балансни единици што ги исполнуваат критериумите за соодветна балансна услуга со која Барателот има намера да учествува на пазарот на балансна енергија</w:t>
      </w:r>
      <w:r w:rsidRPr="00E631DA">
        <w:rPr>
          <w:rFonts w:asciiTheme="majorHAnsi" w:hAnsiTheme="majorHAnsi"/>
          <w:sz w:val="24"/>
          <w:szCs w:val="24"/>
          <w:lang w:eastAsia="ar-SA"/>
        </w:rPr>
        <w:t>)</w:t>
      </w:r>
      <w:r w:rsidR="00547190" w:rsidRPr="00E631DA">
        <w:rPr>
          <w:rFonts w:asciiTheme="majorHAnsi" w:hAnsiTheme="majorHAnsi"/>
          <w:sz w:val="24"/>
          <w:szCs w:val="24"/>
          <w:lang w:eastAsia="ar-SA"/>
        </w:rPr>
        <w:t xml:space="preserve"> </w:t>
      </w:r>
      <w:r w:rsidRPr="00E631DA">
        <w:rPr>
          <w:rFonts w:asciiTheme="majorHAnsi" w:hAnsiTheme="majorHAnsi"/>
          <w:sz w:val="24"/>
          <w:szCs w:val="24"/>
          <w:lang w:eastAsia="ar-SA"/>
        </w:rPr>
        <w:t>ја пополнува АД МЕПСО</w:t>
      </w:r>
      <w:r w:rsidR="00547190" w:rsidRPr="00E631DA">
        <w:rPr>
          <w:rFonts w:asciiTheme="majorHAnsi" w:hAnsiTheme="majorHAnsi"/>
          <w:sz w:val="24"/>
          <w:szCs w:val="24"/>
          <w:lang w:eastAsia="ar-SA"/>
        </w:rPr>
        <w:t>.</w:t>
      </w:r>
    </w:p>
    <w:p w:rsidR="00A032B0" w:rsidRPr="00E631DA" w:rsidRDefault="00A032B0" w:rsidP="00A032B0">
      <w:pPr>
        <w:suppressAutoHyphens w:val="0"/>
        <w:overflowPunct/>
        <w:autoSpaceDE/>
        <w:spacing w:before="240" w:after="120" w:line="276" w:lineRule="auto"/>
        <w:ind w:left="0"/>
        <w:jc w:val="center"/>
        <w:rPr>
          <w:rFonts w:asciiTheme="majorHAnsi" w:hAnsiTheme="majorHAnsi"/>
          <w:b/>
          <w:sz w:val="24"/>
          <w:szCs w:val="24"/>
          <w:lang w:val="mk-MK"/>
        </w:rPr>
      </w:pPr>
      <w:proofErr w:type="spellStart"/>
      <w:r w:rsidRPr="00E631DA">
        <w:rPr>
          <w:rFonts w:asciiTheme="majorHAnsi" w:hAnsiTheme="majorHAnsi"/>
          <w:b/>
          <w:sz w:val="24"/>
          <w:szCs w:val="24"/>
        </w:rPr>
        <w:t>Член</w:t>
      </w:r>
      <w:proofErr w:type="spellEnd"/>
      <w:r w:rsidRPr="00E631DA">
        <w:rPr>
          <w:rFonts w:asciiTheme="majorHAnsi" w:hAnsiTheme="majorHAnsi"/>
          <w:b/>
          <w:sz w:val="24"/>
          <w:szCs w:val="24"/>
        </w:rPr>
        <w:t xml:space="preserve"> </w:t>
      </w:r>
      <w:r w:rsidR="003B3ED3" w:rsidRPr="00E631DA">
        <w:rPr>
          <w:rFonts w:asciiTheme="majorHAnsi" w:hAnsiTheme="majorHAnsi"/>
          <w:b/>
          <w:sz w:val="24"/>
          <w:szCs w:val="24"/>
        </w:rPr>
        <w:t>8</w:t>
      </w:r>
    </w:p>
    <w:p w:rsidR="0093443C" w:rsidRPr="00E631DA" w:rsidRDefault="003B3ED3" w:rsidP="00E631DA">
      <w:pPr>
        <w:pStyle w:val="Stavovi"/>
        <w:numPr>
          <w:ilvl w:val="0"/>
          <w:numId w:val="0"/>
        </w:numPr>
        <w:ind w:left="794" w:hanging="794"/>
        <w:rPr>
          <w:rFonts w:asciiTheme="majorHAnsi" w:hAnsiTheme="majorHAnsi"/>
          <w:b/>
          <w:sz w:val="24"/>
          <w:szCs w:val="24"/>
        </w:rPr>
      </w:pPr>
      <w:r w:rsidRPr="00E631DA">
        <w:rPr>
          <w:rFonts w:asciiTheme="majorHAnsi" w:hAnsiTheme="majorHAnsi"/>
          <w:sz w:val="24"/>
          <w:szCs w:val="24"/>
          <w:lang w:val="en-US"/>
        </w:rPr>
        <w:tab/>
      </w:r>
      <w:r w:rsidR="00334DB4" w:rsidRPr="00E631DA">
        <w:rPr>
          <w:rFonts w:asciiTheme="majorHAnsi" w:hAnsiTheme="majorHAnsi"/>
          <w:sz w:val="24"/>
          <w:szCs w:val="24"/>
        </w:rPr>
        <w:t xml:space="preserve">Давателите на Услуги за Балансирање коишто се квалификувани за обезбедување на FCR, aFRR или mFRR балансен капацитет и балансна енергија до денот на отпочнување на примената на Правилата за балансирање на ЕЕС, се сметаат како </w:t>
      </w:r>
      <w:r w:rsidR="00842973" w:rsidRPr="00E631DA">
        <w:rPr>
          <w:rFonts w:asciiTheme="majorHAnsi" w:hAnsiTheme="majorHAnsi"/>
          <w:sz w:val="24"/>
          <w:szCs w:val="24"/>
        </w:rPr>
        <w:t>Даватели на услуги за балансирање</w:t>
      </w:r>
      <w:r w:rsidR="00334DB4" w:rsidRPr="00E631DA">
        <w:rPr>
          <w:rFonts w:asciiTheme="majorHAnsi" w:hAnsiTheme="majorHAnsi"/>
          <w:sz w:val="24"/>
          <w:szCs w:val="24"/>
        </w:rPr>
        <w:t xml:space="preserve"> за FCR, aFRR или mFRR </w:t>
      </w:r>
      <w:r w:rsidR="00334DB4" w:rsidRPr="00E631DA">
        <w:rPr>
          <w:rFonts w:asciiTheme="majorHAnsi" w:hAnsiTheme="majorHAnsi" w:cstheme="minorHAnsi"/>
          <w:sz w:val="24"/>
          <w:szCs w:val="24"/>
        </w:rPr>
        <w:t>и склучуваат Договор за давателите на услуги за балансирање со ОЕПС и можат да учествуваат во процесот на обезбедување  на балансна енергија.</w:t>
      </w:r>
      <w:r w:rsidRPr="00E631DA">
        <w:rPr>
          <w:rFonts w:asciiTheme="majorHAnsi" w:hAnsiTheme="majorHAnsi" w:cstheme="minorHAnsi"/>
          <w:sz w:val="24"/>
          <w:szCs w:val="24"/>
          <w:lang w:val="en-US"/>
        </w:rPr>
        <w:t xml:space="preserve"> </w:t>
      </w:r>
    </w:p>
    <w:p w:rsidR="0093443C" w:rsidRPr="00E631DA" w:rsidRDefault="0093443C" w:rsidP="00397382">
      <w:pPr>
        <w:pStyle w:val="Stav"/>
        <w:numPr>
          <w:ilvl w:val="0"/>
          <w:numId w:val="0"/>
        </w:numPr>
        <w:ind w:left="794" w:hanging="794"/>
        <w:rPr>
          <w:rFonts w:asciiTheme="majorHAnsi" w:hAnsiTheme="majorHAnsi"/>
          <w:b/>
          <w:sz w:val="24"/>
          <w:szCs w:val="24"/>
        </w:rPr>
      </w:pPr>
    </w:p>
    <w:p w:rsidR="00A21A9B" w:rsidRPr="00E631DA" w:rsidRDefault="00A21A9B" w:rsidP="00A21A9B">
      <w:pPr>
        <w:suppressAutoHyphens w:val="0"/>
        <w:overflowPunct/>
        <w:autoSpaceDE/>
        <w:spacing w:before="240" w:after="120" w:line="276" w:lineRule="auto"/>
        <w:ind w:left="0"/>
        <w:jc w:val="center"/>
        <w:rPr>
          <w:rFonts w:asciiTheme="majorHAnsi" w:hAnsiTheme="majorHAnsi"/>
          <w:b/>
          <w:sz w:val="24"/>
          <w:szCs w:val="24"/>
        </w:rPr>
      </w:pPr>
    </w:p>
    <w:p w:rsidR="00A21A9B" w:rsidRPr="00E631DA" w:rsidRDefault="00A21A9B" w:rsidP="00A21A9B">
      <w:pPr>
        <w:suppressAutoHyphens w:val="0"/>
        <w:overflowPunct/>
        <w:autoSpaceDE/>
        <w:spacing w:before="240" w:after="120" w:line="276" w:lineRule="auto"/>
        <w:ind w:left="0"/>
        <w:jc w:val="center"/>
        <w:rPr>
          <w:rFonts w:asciiTheme="majorHAnsi" w:hAnsiTheme="majorHAnsi"/>
          <w:b/>
          <w:sz w:val="24"/>
          <w:szCs w:val="24"/>
        </w:rPr>
      </w:pPr>
      <w:proofErr w:type="spellStart"/>
      <w:r w:rsidRPr="00E631DA">
        <w:rPr>
          <w:rFonts w:asciiTheme="majorHAnsi" w:hAnsiTheme="majorHAnsi"/>
          <w:b/>
          <w:sz w:val="24"/>
          <w:szCs w:val="24"/>
        </w:rPr>
        <w:lastRenderedPageBreak/>
        <w:t>Член</w:t>
      </w:r>
      <w:proofErr w:type="spellEnd"/>
      <w:r w:rsidRPr="00E631DA">
        <w:rPr>
          <w:rFonts w:asciiTheme="majorHAnsi" w:hAnsiTheme="majorHAnsi"/>
          <w:b/>
          <w:sz w:val="24"/>
          <w:szCs w:val="24"/>
        </w:rPr>
        <w:t xml:space="preserve"> 9</w:t>
      </w:r>
    </w:p>
    <w:p w:rsidR="00A21A9B" w:rsidRPr="00E631DA" w:rsidRDefault="00A21A9B" w:rsidP="00A21A9B">
      <w:pPr>
        <w:suppressAutoHyphens w:val="0"/>
        <w:overflowPunct/>
        <w:autoSpaceDE/>
        <w:spacing w:before="240" w:after="120" w:line="276" w:lineRule="auto"/>
        <w:ind w:left="0"/>
        <w:jc w:val="both"/>
        <w:rPr>
          <w:rFonts w:asciiTheme="majorHAnsi" w:hAnsiTheme="majorHAnsi" w:cstheme="minorHAnsi"/>
          <w:kern w:val="0"/>
          <w:sz w:val="24"/>
          <w:szCs w:val="24"/>
          <w:shd w:val="clear" w:color="auto" w:fill="FFFFFF"/>
          <w:lang w:val="mk-MK" w:eastAsia="mk-MK"/>
        </w:rPr>
      </w:pPr>
      <w:r w:rsidRPr="00E631DA">
        <w:rPr>
          <w:rFonts w:asciiTheme="majorHAnsi" w:hAnsiTheme="majorHAnsi" w:cstheme="minorHAnsi"/>
          <w:kern w:val="0"/>
          <w:sz w:val="24"/>
          <w:szCs w:val="24"/>
          <w:shd w:val="clear" w:color="auto" w:fill="FFFFFF"/>
          <w:lang w:val="mk-MK" w:eastAsia="mk-MK"/>
        </w:rPr>
        <w:t>АД МЕПСО има право да го суспендира Давателот на услуги за балансирање и/или да го раскине Договорот за даватели на услуги за балансирање согласно Член 11 од Правилата за балансирање на ЕЕС.</w:t>
      </w:r>
    </w:p>
    <w:p w:rsidR="0093443C" w:rsidRPr="00E631DA" w:rsidRDefault="0093443C" w:rsidP="00397382">
      <w:pPr>
        <w:pStyle w:val="Stav"/>
        <w:numPr>
          <w:ilvl w:val="0"/>
          <w:numId w:val="0"/>
        </w:numPr>
        <w:ind w:left="794" w:hanging="794"/>
        <w:rPr>
          <w:rFonts w:asciiTheme="majorHAnsi" w:hAnsiTheme="majorHAnsi"/>
          <w:b/>
          <w:sz w:val="24"/>
          <w:szCs w:val="24"/>
        </w:rPr>
      </w:pPr>
    </w:p>
    <w:p w:rsidR="0093443C" w:rsidRPr="00E631DA" w:rsidRDefault="0093443C" w:rsidP="00397382">
      <w:pPr>
        <w:pStyle w:val="Stav"/>
        <w:numPr>
          <w:ilvl w:val="0"/>
          <w:numId w:val="0"/>
        </w:numPr>
        <w:ind w:left="794" w:hanging="794"/>
        <w:rPr>
          <w:rFonts w:asciiTheme="majorHAnsi" w:hAnsiTheme="majorHAnsi"/>
          <w:sz w:val="24"/>
          <w:szCs w:val="24"/>
        </w:rPr>
      </w:pPr>
    </w:p>
    <w:p w:rsidR="00A30CBE" w:rsidRPr="00E631DA" w:rsidRDefault="00E631DA" w:rsidP="00397382">
      <w:pPr>
        <w:pStyle w:val="Stav"/>
        <w:numPr>
          <w:ilvl w:val="0"/>
          <w:numId w:val="0"/>
        </w:numPr>
        <w:ind w:left="794" w:hanging="794"/>
        <w:rPr>
          <w:rFonts w:asciiTheme="majorHAnsi" w:hAnsiTheme="majorHAnsi"/>
          <w:sz w:val="24"/>
          <w:szCs w:val="24"/>
        </w:rPr>
      </w:pPr>
      <w:r>
        <w:rPr>
          <w:rFonts w:asciiTheme="majorHAnsi" w:hAnsiTheme="majorHAnsi"/>
          <w:sz w:val="24"/>
          <w:szCs w:val="24"/>
        </w:rPr>
        <w:t>ЗА АД МЕПСО</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00A30CBE" w:rsidRPr="00E631DA">
        <w:rPr>
          <w:rFonts w:asciiTheme="majorHAnsi" w:hAnsiTheme="majorHAnsi"/>
          <w:sz w:val="24"/>
          <w:szCs w:val="24"/>
        </w:rPr>
        <w:t xml:space="preserve">ЗА ДАВАТЕЛ НА УСЛУГИ ЗА </w:t>
      </w:r>
      <w:r>
        <w:rPr>
          <w:rFonts w:asciiTheme="majorHAnsi" w:hAnsiTheme="majorHAnsi"/>
          <w:sz w:val="24"/>
          <w:szCs w:val="24"/>
        </w:rPr>
        <w:t xml:space="preserve"> </w:t>
      </w:r>
      <w:r w:rsidRPr="00E631DA">
        <w:rPr>
          <w:rFonts w:asciiTheme="majorHAnsi" w:hAnsiTheme="majorHAnsi"/>
          <w:sz w:val="24"/>
          <w:szCs w:val="24"/>
        </w:rPr>
        <w:t>БАЛАНСИРАЊЕ</w:t>
      </w:r>
      <w:r>
        <w:rPr>
          <w:rFonts w:asciiTheme="majorHAnsi" w:hAnsiTheme="majorHAnsi"/>
          <w:sz w:val="24"/>
          <w:szCs w:val="24"/>
        </w:rPr>
        <w:t xml:space="preserve">            </w:t>
      </w:r>
    </w:p>
    <w:p w:rsidR="00A30CBE" w:rsidRPr="00E631DA" w:rsidRDefault="00A30CBE" w:rsidP="00397382">
      <w:pPr>
        <w:pStyle w:val="Stav"/>
        <w:numPr>
          <w:ilvl w:val="0"/>
          <w:numId w:val="0"/>
        </w:numPr>
        <w:ind w:left="794" w:hanging="794"/>
        <w:rPr>
          <w:rFonts w:asciiTheme="majorHAnsi" w:hAnsiTheme="majorHAnsi"/>
          <w:sz w:val="24"/>
          <w:szCs w:val="24"/>
        </w:rPr>
      </w:pPr>
      <w:r w:rsidRPr="00E631DA">
        <w:rPr>
          <w:rFonts w:asciiTheme="majorHAnsi" w:hAnsiTheme="majorHAnsi"/>
          <w:sz w:val="24"/>
          <w:szCs w:val="24"/>
        </w:rPr>
        <w:t xml:space="preserve">______________________                                               </w:t>
      </w:r>
      <w:r w:rsidR="00E631DA">
        <w:rPr>
          <w:rFonts w:asciiTheme="majorHAnsi" w:hAnsiTheme="majorHAnsi"/>
          <w:sz w:val="24"/>
          <w:szCs w:val="24"/>
        </w:rPr>
        <w:t xml:space="preserve">            </w:t>
      </w:r>
      <w:r w:rsidRPr="00E631DA">
        <w:rPr>
          <w:rFonts w:asciiTheme="majorHAnsi" w:hAnsiTheme="majorHAnsi"/>
          <w:sz w:val="24"/>
          <w:szCs w:val="24"/>
        </w:rPr>
        <w:t>_______________________________________________________</w:t>
      </w:r>
    </w:p>
    <w:sectPr w:rsidR="00A30CBE" w:rsidRPr="00E631DA" w:rsidSect="00E176D8">
      <w:pgSz w:w="12240" w:h="15840" w:code="1"/>
      <w:pgMar w:top="540" w:right="567" w:bottom="540" w:left="567" w:header="720" w:footer="9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 Regular">
    <w:altName w:val="Aria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2BD0"/>
    <w:multiLevelType w:val="hybridMultilevel"/>
    <w:tmpl w:val="D91208E2"/>
    <w:lvl w:ilvl="0" w:tplc="BB4E48B6">
      <w:start w:val="1"/>
      <w:numFmt w:val="decimal"/>
      <w:pStyle w:val="Stavovi"/>
      <w:lvlText w:val="(%1)"/>
      <w:lvlJc w:val="left"/>
      <w:pPr>
        <w:ind w:left="45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E0DAB5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AF3834"/>
    <w:multiLevelType w:val="hybridMultilevel"/>
    <w:tmpl w:val="C68EE9DA"/>
    <w:lvl w:ilvl="0" w:tplc="F6CC87C6">
      <w:start w:val="1"/>
      <w:numFmt w:val="decimal"/>
      <w:pStyle w:val="Stav"/>
      <w:lvlText w:val="(%1)"/>
      <w:lvlJc w:val="left"/>
      <w:pPr>
        <w:tabs>
          <w:tab w:val="num" w:pos="794"/>
        </w:tabs>
        <w:ind w:left="794" w:hanging="794"/>
      </w:pPr>
      <w:rPr>
        <w:rFonts w:asciiTheme="majorHAnsi" w:hAnsiTheme="majorHAnsi" w:hint="default"/>
        <w:b w:val="0"/>
        <w:color w:val="auto"/>
      </w:rPr>
    </w:lvl>
    <w:lvl w:ilvl="1" w:tplc="04090003">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2" w15:restartNumberingAfterBreak="0">
    <w:nsid w:val="67156CDA"/>
    <w:multiLevelType w:val="hybridMultilevel"/>
    <w:tmpl w:val="A01E1C3E"/>
    <w:lvl w:ilvl="0" w:tplc="EBA80C70">
      <w:start w:val="1"/>
      <w:numFmt w:val="decimal"/>
      <w:pStyle w:val="Tocka"/>
      <w:lvlText w:val="%1)"/>
      <w:lvlJc w:val="left"/>
      <w:pPr>
        <w:tabs>
          <w:tab w:val="num" w:pos="794"/>
        </w:tabs>
        <w:ind w:left="794" w:hanging="454"/>
      </w:pPr>
      <w:rPr>
        <w:rFonts w:asciiTheme="majorHAnsi" w:hAnsiTheme="majorHAnsi" w:hint="default"/>
      </w:rPr>
    </w:lvl>
    <w:lvl w:ilvl="1" w:tplc="682617A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163C0"/>
    <w:multiLevelType w:val="hybridMultilevel"/>
    <w:tmpl w:val="B9BE25BA"/>
    <w:lvl w:ilvl="0" w:tplc="23F0F0B2">
      <w:start w:val="1"/>
      <w:numFmt w:val="decimal"/>
      <w:lvlText w:val="%1)"/>
      <w:lvlJc w:val="left"/>
      <w:pPr>
        <w:ind w:left="814" w:hanging="360"/>
      </w:pPr>
      <w:rPr>
        <w:rFonts w:hint="default"/>
        <w:b w:val="0"/>
        <w:strike w:val="0"/>
        <w:dstrike w:val="0"/>
        <w:color w:val="000000"/>
      </w:rPr>
    </w:lvl>
    <w:lvl w:ilvl="1" w:tplc="04090019">
      <w:start w:val="1"/>
      <w:numFmt w:val="lowerLetter"/>
      <w:lvlText w:val="%2."/>
      <w:lvlJc w:val="left"/>
      <w:pPr>
        <w:ind w:left="1184" w:hanging="360"/>
      </w:pPr>
    </w:lvl>
    <w:lvl w:ilvl="2" w:tplc="0409001B">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4" w15:restartNumberingAfterBreak="0">
    <w:nsid w:val="692D26CF"/>
    <w:multiLevelType w:val="hybridMultilevel"/>
    <w:tmpl w:val="961C58C2"/>
    <w:lvl w:ilvl="0" w:tplc="042F0001">
      <w:start w:val="1"/>
      <w:numFmt w:val="bullet"/>
      <w:lvlText w:val=""/>
      <w:lvlJc w:val="left"/>
      <w:pPr>
        <w:ind w:left="1440" w:hanging="360"/>
      </w:pPr>
      <w:rPr>
        <w:rFonts w:ascii="Symbol" w:hAnsi="Symbol" w:hint="default"/>
      </w:rPr>
    </w:lvl>
    <w:lvl w:ilvl="1" w:tplc="042F0003">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5" w15:restartNumberingAfterBreak="0">
    <w:nsid w:val="6E1E3FE2"/>
    <w:multiLevelType w:val="multilevel"/>
    <w:tmpl w:val="1B26FFDC"/>
    <w:lvl w:ilvl="0">
      <w:start w:val="1"/>
      <w:numFmt w:val="bullet"/>
      <w:lvlText w:val=""/>
      <w:lvlJc w:val="left"/>
      <w:pPr>
        <w:ind w:left="1287" w:hanging="567"/>
      </w:pPr>
      <w:rPr>
        <w:rFonts w:ascii="Symbol" w:hAnsi="Symbol" w:hint="default"/>
      </w:rPr>
    </w:lvl>
    <w:lvl w:ilvl="1">
      <w:start w:val="1"/>
      <w:numFmt w:val="bullet"/>
      <w:lvlText w:val=""/>
      <w:lvlJc w:val="left"/>
      <w:pPr>
        <w:ind w:left="1685" w:hanging="397"/>
      </w:pPr>
      <w:rPr>
        <w:rFonts w:ascii="Symbol" w:hAnsi="Symbol" w:hint="default"/>
      </w:rPr>
    </w:lvl>
    <w:lvl w:ilvl="2">
      <w:numFmt w:val="bullet"/>
      <w:lvlText w:val="-"/>
      <w:lvlJc w:val="left"/>
      <w:pPr>
        <w:ind w:left="2341" w:hanging="907"/>
      </w:pPr>
      <w:rPr>
        <w:rFonts w:ascii="Calibri" w:eastAsiaTheme="minorHAnsi" w:hAnsi="Calibri" w:cstheme="minorBidi" w:hint="default"/>
      </w:rPr>
    </w:lvl>
    <w:lvl w:ilvl="3">
      <w:start w:val="1"/>
      <w:numFmt w:val="decimal"/>
      <w:lvlText w:val="(%4)"/>
      <w:lvlJc w:val="left"/>
      <w:pPr>
        <w:ind w:left="2617" w:hanging="907"/>
      </w:pPr>
      <w:rPr>
        <w:rFonts w:hint="default"/>
      </w:rPr>
    </w:lvl>
    <w:lvl w:ilvl="4">
      <w:start w:val="1"/>
      <w:numFmt w:val="lowerLetter"/>
      <w:lvlText w:val="(%5)"/>
      <w:lvlJc w:val="left"/>
      <w:pPr>
        <w:ind w:left="3055" w:hanging="907"/>
      </w:pPr>
      <w:rPr>
        <w:rFonts w:hint="default"/>
      </w:rPr>
    </w:lvl>
    <w:lvl w:ilvl="5">
      <w:start w:val="1"/>
      <w:numFmt w:val="lowerRoman"/>
      <w:lvlText w:val="(%6)"/>
      <w:lvlJc w:val="left"/>
      <w:pPr>
        <w:ind w:left="3412" w:hanging="907"/>
      </w:pPr>
      <w:rPr>
        <w:rFonts w:hint="default"/>
      </w:rPr>
    </w:lvl>
    <w:lvl w:ilvl="6">
      <w:start w:val="1"/>
      <w:numFmt w:val="decimal"/>
      <w:lvlText w:val="%7."/>
      <w:lvlJc w:val="left"/>
      <w:pPr>
        <w:ind w:left="3769" w:hanging="907"/>
      </w:pPr>
      <w:rPr>
        <w:rFonts w:hint="default"/>
      </w:rPr>
    </w:lvl>
    <w:lvl w:ilvl="7">
      <w:start w:val="1"/>
      <w:numFmt w:val="lowerLetter"/>
      <w:lvlText w:val="%8."/>
      <w:lvlJc w:val="left"/>
      <w:pPr>
        <w:ind w:left="4126" w:hanging="907"/>
      </w:pPr>
      <w:rPr>
        <w:rFonts w:hint="default"/>
      </w:rPr>
    </w:lvl>
    <w:lvl w:ilvl="8">
      <w:start w:val="1"/>
      <w:numFmt w:val="lowerRoman"/>
      <w:lvlText w:val="%9."/>
      <w:lvlJc w:val="left"/>
      <w:pPr>
        <w:ind w:left="4483" w:hanging="907"/>
      </w:pPr>
      <w:rPr>
        <w:rFonts w:hint="default"/>
      </w:rPr>
    </w:lvl>
  </w:abstractNum>
  <w:num w:numId="1">
    <w:abstractNumId w:val="2"/>
  </w:num>
  <w:num w:numId="2">
    <w:abstractNumId w:val="1"/>
  </w:num>
  <w:num w:numId="3">
    <w:abstractNumId w:val="2"/>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5"/>
  </w:num>
  <w:num w:numId="8">
    <w:abstractNumId w:val="1"/>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2"/>
    <w:lvlOverride w:ilvl="0">
      <w:startOverride w:val="1"/>
    </w:lvlOverride>
  </w:num>
  <w:num w:numId="15">
    <w:abstractNumId w:val="1"/>
    <w:lvlOverride w:ilvl="0">
      <w:startOverride w:val="1"/>
    </w:lvlOverride>
  </w:num>
  <w:num w:numId="16">
    <w:abstractNumId w:val="2"/>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num>
  <w:num w:numId="27">
    <w:abstractNumId w:val="1"/>
    <w:lvlOverride w:ilvl="0">
      <w:startOverride w:val="1"/>
    </w:lvlOverride>
  </w:num>
  <w:num w:numId="28">
    <w:abstractNumId w:val="1"/>
  </w:num>
  <w:num w:numId="29">
    <w:abstractNumId w:val="1"/>
  </w:num>
  <w:num w:numId="30">
    <w:abstractNumId w:val="1"/>
  </w:num>
  <w:num w:numId="31">
    <w:abstractNumId w:val="3"/>
  </w:num>
  <w:num w:numId="32">
    <w:abstractNumId w:val="0"/>
    <w:lvlOverride w:ilvl="0">
      <w:startOverride w:val="1"/>
    </w:lvlOverride>
  </w:num>
  <w:num w:numId="33">
    <w:abstractNumId w:val="3"/>
    <w:lvlOverride w:ilvl="0">
      <w:startOverride w:val="1"/>
    </w:lvlOverride>
  </w:num>
  <w:num w:numId="34">
    <w:abstractNumId w:val="0"/>
  </w:num>
  <w:num w:numId="35">
    <w:abstractNumId w:val="4"/>
  </w:num>
  <w:num w:numId="36">
    <w:abstractNumId w:val="0"/>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62"/>
    <w:rsid w:val="00002F0B"/>
    <w:rsid w:val="00005962"/>
    <w:rsid w:val="00015C72"/>
    <w:rsid w:val="00025FB5"/>
    <w:rsid w:val="000463DF"/>
    <w:rsid w:val="000476D1"/>
    <w:rsid w:val="0005108F"/>
    <w:rsid w:val="00052CB9"/>
    <w:rsid w:val="0005322F"/>
    <w:rsid w:val="00055A1A"/>
    <w:rsid w:val="00070785"/>
    <w:rsid w:val="00074A9A"/>
    <w:rsid w:val="0008165A"/>
    <w:rsid w:val="00094C81"/>
    <w:rsid w:val="000A1357"/>
    <w:rsid w:val="000B67A1"/>
    <w:rsid w:val="000C3D9E"/>
    <w:rsid w:val="000D2481"/>
    <w:rsid w:val="00110F6C"/>
    <w:rsid w:val="001275BB"/>
    <w:rsid w:val="00134311"/>
    <w:rsid w:val="001408A0"/>
    <w:rsid w:val="00152996"/>
    <w:rsid w:val="00171EE8"/>
    <w:rsid w:val="00185219"/>
    <w:rsid w:val="001B3BED"/>
    <w:rsid w:val="001C09ED"/>
    <w:rsid w:val="001C431F"/>
    <w:rsid w:val="001D674D"/>
    <w:rsid w:val="001D7019"/>
    <w:rsid w:val="001D7794"/>
    <w:rsid w:val="001E0AD1"/>
    <w:rsid w:val="001F552F"/>
    <w:rsid w:val="002420D4"/>
    <w:rsid w:val="00246522"/>
    <w:rsid w:val="00261980"/>
    <w:rsid w:val="00280D5E"/>
    <w:rsid w:val="00282329"/>
    <w:rsid w:val="002908E0"/>
    <w:rsid w:val="00290F40"/>
    <w:rsid w:val="00296090"/>
    <w:rsid w:val="002A188C"/>
    <w:rsid w:val="002A4A74"/>
    <w:rsid w:val="002C08D0"/>
    <w:rsid w:val="002C25FD"/>
    <w:rsid w:val="002C6E14"/>
    <w:rsid w:val="002C7779"/>
    <w:rsid w:val="003006CF"/>
    <w:rsid w:val="003111BA"/>
    <w:rsid w:val="00314CE6"/>
    <w:rsid w:val="0031777C"/>
    <w:rsid w:val="00331F07"/>
    <w:rsid w:val="003321BD"/>
    <w:rsid w:val="00334DB4"/>
    <w:rsid w:val="00340A6E"/>
    <w:rsid w:val="00341D70"/>
    <w:rsid w:val="003433CA"/>
    <w:rsid w:val="00343935"/>
    <w:rsid w:val="00343985"/>
    <w:rsid w:val="003469CB"/>
    <w:rsid w:val="00350E31"/>
    <w:rsid w:val="00352656"/>
    <w:rsid w:val="0037040D"/>
    <w:rsid w:val="00390D48"/>
    <w:rsid w:val="00397382"/>
    <w:rsid w:val="003B3ED3"/>
    <w:rsid w:val="003B55B3"/>
    <w:rsid w:val="003B5FD6"/>
    <w:rsid w:val="003B7524"/>
    <w:rsid w:val="003B7829"/>
    <w:rsid w:val="003E5519"/>
    <w:rsid w:val="003E651E"/>
    <w:rsid w:val="003F00C3"/>
    <w:rsid w:val="003F6F09"/>
    <w:rsid w:val="00404464"/>
    <w:rsid w:val="00406F14"/>
    <w:rsid w:val="00420B7E"/>
    <w:rsid w:val="00422314"/>
    <w:rsid w:val="00425259"/>
    <w:rsid w:val="00431495"/>
    <w:rsid w:val="00442952"/>
    <w:rsid w:val="00445893"/>
    <w:rsid w:val="00450E7B"/>
    <w:rsid w:val="004566B2"/>
    <w:rsid w:val="00464D2A"/>
    <w:rsid w:val="00466832"/>
    <w:rsid w:val="004759CE"/>
    <w:rsid w:val="00475AFD"/>
    <w:rsid w:val="00480FAA"/>
    <w:rsid w:val="00485AB8"/>
    <w:rsid w:val="0048776B"/>
    <w:rsid w:val="004964AA"/>
    <w:rsid w:val="0049665B"/>
    <w:rsid w:val="004C1BC5"/>
    <w:rsid w:val="004E1F97"/>
    <w:rsid w:val="004F1575"/>
    <w:rsid w:val="004F3255"/>
    <w:rsid w:val="004F3D4E"/>
    <w:rsid w:val="004F77B6"/>
    <w:rsid w:val="00527F46"/>
    <w:rsid w:val="005424FD"/>
    <w:rsid w:val="00545CDB"/>
    <w:rsid w:val="00545FCD"/>
    <w:rsid w:val="00547190"/>
    <w:rsid w:val="00551900"/>
    <w:rsid w:val="00552BB8"/>
    <w:rsid w:val="00553569"/>
    <w:rsid w:val="00580B89"/>
    <w:rsid w:val="0058699E"/>
    <w:rsid w:val="00586B56"/>
    <w:rsid w:val="00586EC2"/>
    <w:rsid w:val="00595002"/>
    <w:rsid w:val="005C0794"/>
    <w:rsid w:val="005D3564"/>
    <w:rsid w:val="005E0AF1"/>
    <w:rsid w:val="005F3BC2"/>
    <w:rsid w:val="00603107"/>
    <w:rsid w:val="0060792E"/>
    <w:rsid w:val="00622F25"/>
    <w:rsid w:val="006246DE"/>
    <w:rsid w:val="006314C1"/>
    <w:rsid w:val="0063612B"/>
    <w:rsid w:val="00636F3E"/>
    <w:rsid w:val="00645BA9"/>
    <w:rsid w:val="00655ACF"/>
    <w:rsid w:val="00664498"/>
    <w:rsid w:val="00681412"/>
    <w:rsid w:val="00697312"/>
    <w:rsid w:val="006A0701"/>
    <w:rsid w:val="006A5AD0"/>
    <w:rsid w:val="006B2B6B"/>
    <w:rsid w:val="006C1274"/>
    <w:rsid w:val="006C21C7"/>
    <w:rsid w:val="006C7D19"/>
    <w:rsid w:val="006E432A"/>
    <w:rsid w:val="006E4B2D"/>
    <w:rsid w:val="006E58C2"/>
    <w:rsid w:val="006E7162"/>
    <w:rsid w:val="00704707"/>
    <w:rsid w:val="00704F93"/>
    <w:rsid w:val="007074E4"/>
    <w:rsid w:val="00724A47"/>
    <w:rsid w:val="0072564A"/>
    <w:rsid w:val="00743D2A"/>
    <w:rsid w:val="00762BED"/>
    <w:rsid w:val="007860CD"/>
    <w:rsid w:val="007909AC"/>
    <w:rsid w:val="007A407F"/>
    <w:rsid w:val="007B564B"/>
    <w:rsid w:val="007C79E8"/>
    <w:rsid w:val="007E09B0"/>
    <w:rsid w:val="008137EE"/>
    <w:rsid w:val="00831F2E"/>
    <w:rsid w:val="00832611"/>
    <w:rsid w:val="00833A14"/>
    <w:rsid w:val="00842973"/>
    <w:rsid w:val="00847239"/>
    <w:rsid w:val="008508EA"/>
    <w:rsid w:val="00853ABF"/>
    <w:rsid w:val="00856DB2"/>
    <w:rsid w:val="00862778"/>
    <w:rsid w:val="0086579B"/>
    <w:rsid w:val="0087072A"/>
    <w:rsid w:val="00871FB6"/>
    <w:rsid w:val="00872E72"/>
    <w:rsid w:val="00887E92"/>
    <w:rsid w:val="008A3351"/>
    <w:rsid w:val="008B0BF0"/>
    <w:rsid w:val="008B3D1C"/>
    <w:rsid w:val="008B40AC"/>
    <w:rsid w:val="008B6B99"/>
    <w:rsid w:val="008B77C0"/>
    <w:rsid w:val="008C5C73"/>
    <w:rsid w:val="008E2CA6"/>
    <w:rsid w:val="0090178F"/>
    <w:rsid w:val="00906C5C"/>
    <w:rsid w:val="0091583A"/>
    <w:rsid w:val="0092174F"/>
    <w:rsid w:val="00923C88"/>
    <w:rsid w:val="0093443C"/>
    <w:rsid w:val="00946D8D"/>
    <w:rsid w:val="009555B9"/>
    <w:rsid w:val="009640C3"/>
    <w:rsid w:val="00982BA9"/>
    <w:rsid w:val="009A78E5"/>
    <w:rsid w:val="009B242F"/>
    <w:rsid w:val="009B4847"/>
    <w:rsid w:val="009C38E9"/>
    <w:rsid w:val="009C3A9E"/>
    <w:rsid w:val="009D5C6B"/>
    <w:rsid w:val="009E5120"/>
    <w:rsid w:val="009E6A03"/>
    <w:rsid w:val="009F21EA"/>
    <w:rsid w:val="009F2EA7"/>
    <w:rsid w:val="00A032B0"/>
    <w:rsid w:val="00A132D8"/>
    <w:rsid w:val="00A16E9B"/>
    <w:rsid w:val="00A21A9B"/>
    <w:rsid w:val="00A26F4F"/>
    <w:rsid w:val="00A30CBE"/>
    <w:rsid w:val="00A52FBD"/>
    <w:rsid w:val="00A754D1"/>
    <w:rsid w:val="00A77E4E"/>
    <w:rsid w:val="00A9764D"/>
    <w:rsid w:val="00AA226B"/>
    <w:rsid w:val="00AA34F3"/>
    <w:rsid w:val="00AA3ADD"/>
    <w:rsid w:val="00AA6663"/>
    <w:rsid w:val="00AB0F9C"/>
    <w:rsid w:val="00AB349B"/>
    <w:rsid w:val="00AC51B2"/>
    <w:rsid w:val="00AC6160"/>
    <w:rsid w:val="00AE1B5F"/>
    <w:rsid w:val="00AF33D2"/>
    <w:rsid w:val="00B04C0D"/>
    <w:rsid w:val="00B066B0"/>
    <w:rsid w:val="00B13386"/>
    <w:rsid w:val="00B2265F"/>
    <w:rsid w:val="00B3533F"/>
    <w:rsid w:val="00B35B68"/>
    <w:rsid w:val="00B40AD0"/>
    <w:rsid w:val="00B60EC7"/>
    <w:rsid w:val="00B61563"/>
    <w:rsid w:val="00B67177"/>
    <w:rsid w:val="00BA3AA1"/>
    <w:rsid w:val="00BB77C2"/>
    <w:rsid w:val="00BD4FF5"/>
    <w:rsid w:val="00BE6E32"/>
    <w:rsid w:val="00BF7160"/>
    <w:rsid w:val="00C03D78"/>
    <w:rsid w:val="00C15450"/>
    <w:rsid w:val="00C17EB3"/>
    <w:rsid w:val="00C2037E"/>
    <w:rsid w:val="00C26D0E"/>
    <w:rsid w:val="00C43A6D"/>
    <w:rsid w:val="00C77203"/>
    <w:rsid w:val="00C7752C"/>
    <w:rsid w:val="00C82551"/>
    <w:rsid w:val="00C85647"/>
    <w:rsid w:val="00CA36AB"/>
    <w:rsid w:val="00CB5A20"/>
    <w:rsid w:val="00CD2FD8"/>
    <w:rsid w:val="00CE21C0"/>
    <w:rsid w:val="00CF51C7"/>
    <w:rsid w:val="00CF676E"/>
    <w:rsid w:val="00D12D6D"/>
    <w:rsid w:val="00D24CC3"/>
    <w:rsid w:val="00D376C3"/>
    <w:rsid w:val="00D400D1"/>
    <w:rsid w:val="00D45CC3"/>
    <w:rsid w:val="00D46A78"/>
    <w:rsid w:val="00D4766D"/>
    <w:rsid w:val="00D47E41"/>
    <w:rsid w:val="00D526A0"/>
    <w:rsid w:val="00D600BE"/>
    <w:rsid w:val="00D61781"/>
    <w:rsid w:val="00D6609E"/>
    <w:rsid w:val="00D67B06"/>
    <w:rsid w:val="00D70551"/>
    <w:rsid w:val="00D70CE8"/>
    <w:rsid w:val="00D72E35"/>
    <w:rsid w:val="00D74973"/>
    <w:rsid w:val="00D75125"/>
    <w:rsid w:val="00D801EA"/>
    <w:rsid w:val="00D85557"/>
    <w:rsid w:val="00D91198"/>
    <w:rsid w:val="00DA4F31"/>
    <w:rsid w:val="00DB7895"/>
    <w:rsid w:val="00DC07B8"/>
    <w:rsid w:val="00DC1C85"/>
    <w:rsid w:val="00DC7AE6"/>
    <w:rsid w:val="00DD06D5"/>
    <w:rsid w:val="00DD4869"/>
    <w:rsid w:val="00DE681F"/>
    <w:rsid w:val="00DF7CD7"/>
    <w:rsid w:val="00E10434"/>
    <w:rsid w:val="00E14A0B"/>
    <w:rsid w:val="00E176D8"/>
    <w:rsid w:val="00E27C6E"/>
    <w:rsid w:val="00E319A1"/>
    <w:rsid w:val="00E32387"/>
    <w:rsid w:val="00E51D17"/>
    <w:rsid w:val="00E52766"/>
    <w:rsid w:val="00E55D0D"/>
    <w:rsid w:val="00E55E81"/>
    <w:rsid w:val="00E631DA"/>
    <w:rsid w:val="00E700FB"/>
    <w:rsid w:val="00E76017"/>
    <w:rsid w:val="00EB06AC"/>
    <w:rsid w:val="00EB23EC"/>
    <w:rsid w:val="00EC01A4"/>
    <w:rsid w:val="00EC54C6"/>
    <w:rsid w:val="00ED38D1"/>
    <w:rsid w:val="00ED6BDC"/>
    <w:rsid w:val="00EF244B"/>
    <w:rsid w:val="00EF3395"/>
    <w:rsid w:val="00F003D6"/>
    <w:rsid w:val="00F1257D"/>
    <w:rsid w:val="00F20364"/>
    <w:rsid w:val="00F27AB6"/>
    <w:rsid w:val="00F4488A"/>
    <w:rsid w:val="00F522E2"/>
    <w:rsid w:val="00F651B4"/>
    <w:rsid w:val="00F86B72"/>
    <w:rsid w:val="00F90650"/>
    <w:rsid w:val="00F955A3"/>
    <w:rsid w:val="00FA342C"/>
    <w:rsid w:val="00FA6421"/>
    <w:rsid w:val="00FA78B7"/>
    <w:rsid w:val="00FB6F0D"/>
    <w:rsid w:val="00FC32AB"/>
    <w:rsid w:val="00FD14A0"/>
    <w:rsid w:val="00FE58CF"/>
    <w:rsid w:val="00FE6FB7"/>
    <w:rsid w:val="00FF3C02"/>
    <w:rsid w:val="00FF5021"/>
    <w:rsid w:val="00FF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BD8E1-91B4-42E9-B0BD-4C17D7C1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D0E"/>
    <w:pPr>
      <w:suppressAutoHyphens/>
      <w:overflowPunct w:val="0"/>
      <w:autoSpaceDE w:val="0"/>
      <w:spacing w:before="60" w:after="60" w:line="240" w:lineRule="auto"/>
      <w:ind w:left="567"/>
    </w:pPr>
    <w:rPr>
      <w:rFonts w:ascii="Arial" w:eastAsia="Times New Roman" w:hAnsi="Arial" w:cs="Times New Roman"/>
      <w:kern w:val="2"/>
      <w:szCs w:val="20"/>
      <w:lang w:val="fr-CA" w:eastAsia="ar-SA"/>
    </w:rPr>
  </w:style>
  <w:style w:type="paragraph" w:styleId="Heading1">
    <w:name w:val="heading 1"/>
    <w:basedOn w:val="Normal"/>
    <w:next w:val="Normal"/>
    <w:link w:val="Heading1Char"/>
    <w:qFormat/>
    <w:rsid w:val="006E7162"/>
    <w:pPr>
      <w:keepNext/>
      <w:spacing w:before="240" w:after="240"/>
      <w:ind w:left="0"/>
      <w:jc w:val="center"/>
      <w:outlineLvl w:val="0"/>
    </w:pPr>
    <w:rPr>
      <w:rFonts w:ascii="Arial Narrow" w:hAnsi="Arial Narrow" w:cs="Arial"/>
      <w:b/>
      <w:bCs/>
      <w:caps/>
      <w:kern w:val="32"/>
      <w:sz w:val="28"/>
      <w:szCs w:val="28"/>
      <w:lang w:val="mk-MK"/>
    </w:rPr>
  </w:style>
  <w:style w:type="paragraph" w:styleId="Heading2">
    <w:name w:val="heading 2"/>
    <w:basedOn w:val="Normal"/>
    <w:next w:val="Normal"/>
    <w:link w:val="Heading2Char"/>
    <w:qFormat/>
    <w:rsid w:val="006E7162"/>
    <w:pPr>
      <w:keepNext/>
      <w:spacing w:before="120" w:after="120"/>
      <w:ind w:left="0"/>
      <w:jc w:val="center"/>
      <w:outlineLvl w:val="1"/>
    </w:pPr>
    <w:rPr>
      <w:rFonts w:ascii="Arial Narrow" w:hAnsi="Arial Narrow" w:cs="Arial"/>
      <w:b/>
      <w:bCs/>
      <w:sz w:val="24"/>
      <w:szCs w:val="24"/>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162"/>
    <w:rPr>
      <w:rFonts w:ascii="Arial Narrow" w:eastAsia="Times New Roman" w:hAnsi="Arial Narrow" w:cs="Arial"/>
      <w:b/>
      <w:bCs/>
      <w:caps/>
      <w:kern w:val="32"/>
      <w:sz w:val="28"/>
      <w:szCs w:val="28"/>
      <w:lang w:val="mk-MK" w:eastAsia="ar-SA"/>
    </w:rPr>
  </w:style>
  <w:style w:type="character" w:customStyle="1" w:styleId="Heading2Char">
    <w:name w:val="Heading 2 Char"/>
    <w:basedOn w:val="DefaultParagraphFont"/>
    <w:link w:val="Heading2"/>
    <w:rsid w:val="006E7162"/>
    <w:rPr>
      <w:rFonts w:ascii="Arial Narrow" w:eastAsia="Times New Roman" w:hAnsi="Arial Narrow" w:cs="Arial"/>
      <w:b/>
      <w:bCs/>
      <w:kern w:val="2"/>
      <w:sz w:val="24"/>
      <w:szCs w:val="24"/>
      <w:lang w:val="mk-MK" w:eastAsia="ar-SA"/>
    </w:rPr>
  </w:style>
  <w:style w:type="paragraph" w:customStyle="1" w:styleId="Stav">
    <w:name w:val="Stav"/>
    <w:basedOn w:val="ListNumber2"/>
    <w:qFormat/>
    <w:rsid w:val="006E7162"/>
    <w:pPr>
      <w:numPr>
        <w:numId w:val="2"/>
      </w:numPr>
      <w:suppressAutoHyphens w:val="0"/>
      <w:overflowPunct/>
      <w:autoSpaceDE/>
      <w:spacing w:before="0" w:after="120"/>
      <w:contextualSpacing w:val="0"/>
      <w:jc w:val="both"/>
    </w:pPr>
    <w:rPr>
      <w:rFonts w:ascii="Cambria" w:hAnsi="Cambria"/>
      <w:kern w:val="0"/>
      <w:szCs w:val="22"/>
      <w:lang w:val="mk-MK" w:eastAsia="en-US"/>
    </w:rPr>
  </w:style>
  <w:style w:type="paragraph" w:customStyle="1" w:styleId="Tocka">
    <w:name w:val="Tocka"/>
    <w:basedOn w:val="Normal"/>
    <w:qFormat/>
    <w:rsid w:val="006E7162"/>
    <w:pPr>
      <w:numPr>
        <w:numId w:val="1"/>
      </w:numPr>
      <w:suppressAutoHyphens w:val="0"/>
      <w:overflowPunct/>
      <w:autoSpaceDE/>
      <w:spacing w:before="0"/>
      <w:jc w:val="both"/>
    </w:pPr>
    <w:rPr>
      <w:rFonts w:ascii="Cambria" w:hAnsi="Cambria" w:cs="Arial"/>
      <w:szCs w:val="22"/>
      <w:lang w:val="mk-MK"/>
    </w:rPr>
  </w:style>
  <w:style w:type="paragraph" w:customStyle="1" w:styleId="Clen">
    <w:name w:val="Clen"/>
    <w:basedOn w:val="Normal"/>
    <w:next w:val="Stav"/>
    <w:qFormat/>
    <w:rsid w:val="006E7162"/>
    <w:pPr>
      <w:keepNext/>
      <w:spacing w:before="120" w:after="120"/>
      <w:ind w:left="0"/>
      <w:jc w:val="center"/>
      <w:outlineLvl w:val="2"/>
    </w:pPr>
    <w:rPr>
      <w:rFonts w:ascii="Cambria" w:hAnsi="Cambria"/>
      <w:b/>
    </w:rPr>
  </w:style>
  <w:style w:type="paragraph" w:styleId="ListNumber2">
    <w:name w:val="List Number 2"/>
    <w:basedOn w:val="Normal"/>
    <w:uiPriority w:val="99"/>
    <w:semiHidden/>
    <w:unhideWhenUsed/>
    <w:rsid w:val="006E7162"/>
    <w:pPr>
      <w:tabs>
        <w:tab w:val="num" w:pos="794"/>
      </w:tabs>
      <w:ind w:left="794" w:hanging="454"/>
      <w:contextualSpacing/>
    </w:pPr>
  </w:style>
  <w:style w:type="paragraph" w:styleId="ListParagraph">
    <w:name w:val="List Paragraph"/>
    <w:basedOn w:val="Normal"/>
    <w:uiPriority w:val="34"/>
    <w:qFormat/>
    <w:rsid w:val="00FF75D6"/>
    <w:pPr>
      <w:ind w:left="720"/>
      <w:contextualSpacing/>
    </w:pPr>
  </w:style>
  <w:style w:type="table" w:styleId="TableGrid">
    <w:name w:val="Table Grid"/>
    <w:basedOn w:val="TableNormal"/>
    <w:uiPriority w:val="59"/>
    <w:rsid w:val="006A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0AD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AD1"/>
    <w:rPr>
      <w:rFonts w:ascii="Tahoma" w:eastAsia="Times New Roman" w:hAnsi="Tahoma" w:cs="Tahoma"/>
      <w:kern w:val="2"/>
      <w:sz w:val="16"/>
      <w:szCs w:val="16"/>
      <w:lang w:val="fr-CA" w:eastAsia="ar-SA"/>
    </w:rPr>
  </w:style>
  <w:style w:type="table" w:customStyle="1" w:styleId="TableGrid1">
    <w:name w:val="Table Grid1"/>
    <w:basedOn w:val="TableNormal"/>
    <w:next w:val="TableGrid"/>
    <w:uiPriority w:val="59"/>
    <w:rsid w:val="0066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3C88"/>
    <w:rPr>
      <w:color w:val="808080"/>
    </w:rPr>
  </w:style>
  <w:style w:type="character" w:styleId="CommentReference">
    <w:name w:val="annotation reference"/>
    <w:basedOn w:val="DefaultParagraphFont"/>
    <w:uiPriority w:val="99"/>
    <w:semiHidden/>
    <w:unhideWhenUsed/>
    <w:rsid w:val="00D4766D"/>
    <w:rPr>
      <w:sz w:val="16"/>
      <w:szCs w:val="16"/>
    </w:rPr>
  </w:style>
  <w:style w:type="paragraph" w:styleId="CommentText">
    <w:name w:val="annotation text"/>
    <w:basedOn w:val="Normal"/>
    <w:link w:val="CommentTextChar"/>
    <w:uiPriority w:val="99"/>
    <w:semiHidden/>
    <w:unhideWhenUsed/>
    <w:rsid w:val="00D4766D"/>
    <w:rPr>
      <w:sz w:val="20"/>
    </w:rPr>
  </w:style>
  <w:style w:type="character" w:customStyle="1" w:styleId="CommentTextChar">
    <w:name w:val="Comment Text Char"/>
    <w:basedOn w:val="DefaultParagraphFont"/>
    <w:link w:val="CommentText"/>
    <w:uiPriority w:val="99"/>
    <w:semiHidden/>
    <w:rsid w:val="00D4766D"/>
    <w:rPr>
      <w:rFonts w:ascii="Arial" w:eastAsia="Times New Roman" w:hAnsi="Arial" w:cs="Times New Roman"/>
      <w:kern w:val="2"/>
      <w:sz w:val="20"/>
      <w:szCs w:val="20"/>
      <w:lang w:val="fr-CA" w:eastAsia="ar-SA"/>
    </w:rPr>
  </w:style>
  <w:style w:type="paragraph" w:styleId="CommentSubject">
    <w:name w:val="annotation subject"/>
    <w:basedOn w:val="CommentText"/>
    <w:next w:val="CommentText"/>
    <w:link w:val="CommentSubjectChar"/>
    <w:uiPriority w:val="99"/>
    <w:semiHidden/>
    <w:unhideWhenUsed/>
    <w:rsid w:val="00D4766D"/>
    <w:rPr>
      <w:b/>
      <w:bCs/>
    </w:rPr>
  </w:style>
  <w:style w:type="character" w:customStyle="1" w:styleId="CommentSubjectChar">
    <w:name w:val="Comment Subject Char"/>
    <w:basedOn w:val="CommentTextChar"/>
    <w:link w:val="CommentSubject"/>
    <w:uiPriority w:val="99"/>
    <w:semiHidden/>
    <w:rsid w:val="00D4766D"/>
    <w:rPr>
      <w:rFonts w:ascii="Arial" w:eastAsia="Times New Roman" w:hAnsi="Arial" w:cs="Times New Roman"/>
      <w:b/>
      <w:bCs/>
      <w:kern w:val="2"/>
      <w:sz w:val="20"/>
      <w:szCs w:val="20"/>
      <w:lang w:val="fr-CA" w:eastAsia="ar-SA"/>
    </w:rPr>
  </w:style>
  <w:style w:type="paragraph" w:customStyle="1" w:styleId="Stavovi">
    <w:name w:val="Stavovi"/>
    <w:basedOn w:val="Normal"/>
    <w:link w:val="StavoviChar"/>
    <w:qFormat/>
    <w:rsid w:val="00A032B0"/>
    <w:pPr>
      <w:numPr>
        <w:numId w:val="32"/>
      </w:numPr>
      <w:suppressAutoHyphens w:val="0"/>
      <w:overflowPunct/>
      <w:autoSpaceDE/>
      <w:jc w:val="both"/>
    </w:pPr>
    <w:rPr>
      <w:rFonts w:ascii="StobiSerif Regular" w:hAnsi="StobiSerif Regular"/>
      <w:kern w:val="0"/>
      <w:szCs w:val="22"/>
      <w:shd w:val="clear" w:color="auto" w:fill="FFFFFF"/>
      <w:lang w:val="mk-MK" w:eastAsia="mk-MK"/>
    </w:rPr>
  </w:style>
  <w:style w:type="character" w:customStyle="1" w:styleId="StavoviChar">
    <w:name w:val="Stavovi Char"/>
    <w:link w:val="Stavovi"/>
    <w:rsid w:val="00A032B0"/>
    <w:rPr>
      <w:rFonts w:ascii="StobiSerif Regular" w:eastAsia="Times New Roman" w:hAnsi="StobiSerif Regular" w:cs="Times New Roman"/>
      <w:lang w:val="mk-MK" w:eastAsia="mk-MK"/>
    </w:rPr>
  </w:style>
  <w:style w:type="table" w:styleId="LightShading-Accent2">
    <w:name w:val="Light Shading Accent 2"/>
    <w:basedOn w:val="TableNormal"/>
    <w:uiPriority w:val="60"/>
    <w:rsid w:val="002A4A7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2A4A7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2A4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580B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37036">
      <w:bodyDiv w:val="1"/>
      <w:marLeft w:val="0"/>
      <w:marRight w:val="0"/>
      <w:marTop w:val="0"/>
      <w:marBottom w:val="0"/>
      <w:divBdr>
        <w:top w:val="none" w:sz="0" w:space="0" w:color="auto"/>
        <w:left w:val="none" w:sz="0" w:space="0" w:color="auto"/>
        <w:bottom w:val="none" w:sz="0" w:space="0" w:color="auto"/>
        <w:right w:val="none" w:sz="0" w:space="0" w:color="auto"/>
      </w:divBdr>
    </w:div>
    <w:div w:id="20996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F405-5232-4D2C-8F1B-5C53BA96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Borko Aleksoski</dc:creator>
  <cp:lastModifiedBy>Borko Aleksoski</cp:lastModifiedBy>
  <cp:revision>2</cp:revision>
  <cp:lastPrinted>2017-03-14T09:25:00Z</cp:lastPrinted>
  <dcterms:created xsi:type="dcterms:W3CDTF">2019-10-10T13:05:00Z</dcterms:created>
  <dcterms:modified xsi:type="dcterms:W3CDTF">2019-10-10T13:05:00Z</dcterms:modified>
</cp:coreProperties>
</file>